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60" w:after="400"/>
        <w:jc w:val="center"/>
      </w:pPr>
      <w:r>
        <w:drawing>
          <wp:inline xmlns:a="http://schemas.openxmlformats.org/drawingml/2006/main" xmlns:pic="http://schemas.openxmlformats.org/drawingml/2006/picture">
            <wp:extent cx="2088000" cy="1713471"/>
            <wp:docPr id="1" name="Picture 1" title="Resisco Mühendislik logosu" descr="Resisco Mühendislik dikey kurumsal logosu"/>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2088000" cy="1713471"/>
                    </a:xfrm>
                    <a:prstGeom prst="rect"/>
                  </pic:spPr>
                </pic:pic>
              </a:graphicData>
            </a:graphic>
          </wp:inline>
        </w:drawing>
      </w:r>
    </w:p>
    <w:p>
      <w:pPr>
        <w:spacing w:after="200"/>
        <w:jc w:val="center"/>
      </w:pPr>
      <w:r>
        <w:rPr>
          <w:rFonts w:ascii="Avenir Light" w:hAnsi="Avenir Light" w:eastAsia="Avenir Light" w:cs="Avenir Light"/>
          <w:b w:val="0"/>
          <w:i w:val="0"/>
          <w:color w:val="172126"/>
          <w:sz w:val="44"/>
        </w:rPr>
        <w:t>SERA GAZI EMİSYONLARININ İZLENMESİ VE RAPORLANMASI HAKKINDA TEBLİĞ</w:t>
      </w:r>
    </w:p>
    <w:p>
      <w:pPr>
        <w:spacing w:after="360"/>
        <w:jc w:val="center"/>
      </w:pPr>
      <w:r>
        <w:rPr>
          <w:rFonts w:ascii="Avenir Light" w:hAnsi="Avenir Light" w:eastAsia="Avenir Light" w:cs="Avenir Light"/>
          <w:b w:val="0"/>
          <w:i w:val="0"/>
          <w:color w:val="0D5F31"/>
          <w:sz w:val="26"/>
        </w:rPr>
        <w:t>Resisco düzenlenmiş ve bağlantılı okuma sürümü</w:t>
      </w:r>
    </w:p>
    <w:p>
      <w:pPr>
        <w:spacing w:after="120"/>
        <w:jc w:val="center"/>
      </w:pPr>
      <w:r>
        <w:rPr>
          <w:rFonts w:ascii="Avenir Light" w:hAnsi="Avenir Light" w:eastAsia="Avenir Light" w:cs="Avenir Light"/>
          <w:b w:val="0"/>
          <w:i w:val="0"/>
          <w:color w:val="58666B"/>
          <w:sz w:val="20"/>
        </w:rPr>
        <w:t>22 Temmuz 2014  /  29068 sayılı Resmî Gazete</w:t>
      </w:r>
    </w:p>
    <w:p>
      <w:pPr>
        <w:spacing w:after="120"/>
        <w:jc w:val="center"/>
      </w:pPr>
      <w:r>
        <w:rPr>
          <w:rFonts w:ascii="Avenir Light" w:hAnsi="Avenir Light" w:eastAsia="Avenir Light" w:cs="Avenir Light"/>
          <w:b w:val="0"/>
          <w:i w:val="0"/>
          <w:color w:val="58666B"/>
          <w:sz w:val="20"/>
        </w:rPr>
        <w:t>5 Şubat 2021  /  31386 sayılı değişiklik</w:t>
      </w:r>
    </w:p>
    <w:p>
      <w:pPr>
        <w:spacing w:after="120"/>
        <w:jc w:val="center"/>
      </w:pPr>
      <w:r>
        <w:rPr>
          <w:rFonts w:ascii="Avenir Light" w:hAnsi="Avenir Light" w:eastAsia="Avenir Light" w:cs="Avenir Light"/>
          <w:b w:val="0"/>
          <w:i w:val="0"/>
          <w:color w:val="58666B"/>
          <w:sz w:val="20"/>
        </w:rPr>
        <w:t>62 madde  /  1 geçici madde  /  EK-1 - EK-9</w:t>
      </w:r>
    </w:p>
    <w:p>
      <w:pPr>
        <w:spacing w:before="600"/>
        <w:jc w:val="center"/>
      </w:pPr>
      <w:r>
        <w:rPr>
          <w:rFonts w:ascii="Avenir Light" w:hAnsi="Avenir Light" w:eastAsia="Avenir Light" w:cs="Avenir Light"/>
          <w:b w:val="0"/>
          <w:i/>
          <w:color w:val="58666B"/>
          <w:sz w:val="18"/>
        </w:rPr>
        <w:t>Resmî konsolide metin aynen korunmuş; yalnız tipografi, içindekiler ve bağlantı katmanı eklenmiştir.</w:t>
      </w:r>
      <w:r>
        <w:br w:type="page"/>
      </w:r>
    </w:p>
    <w:p>
      <w:pPr>
        <w:spacing w:after="240"/>
      </w:pPr>
      <w:r>
        <w:rPr>
          <w:rFonts w:ascii="Avenir Light" w:hAnsi="Avenir Light" w:eastAsia="Avenir Light" w:cs="Avenir Light"/>
          <w:b w:val="0"/>
          <w:i w:val="0"/>
          <w:color w:val="172126"/>
          <w:sz w:val="40"/>
        </w:rPr>
        <w:t>Sürüm ve doğruluk notu</w:t>
      </w:r>
    </w:p>
    <w:p>
      <w:pPr>
        <w:spacing w:after="120"/>
      </w:pPr>
      <w:r>
        <w:rPr>
          <w:rFonts w:ascii="Avenir Light" w:hAnsi="Avenir Light" w:eastAsia="Avenir Light" w:cs="Avenir Light"/>
          <w:b w:val="0"/>
          <w:i w:val="0"/>
          <w:color w:val="0D5F31"/>
          <w:sz w:val="18"/>
        </w:rPr>
        <w:t xml:space="preserve">Ana yayın: </w:t>
      </w:r>
      <w:r>
        <w:rPr>
          <w:rFonts w:ascii="Avenir Light" w:hAnsi="Avenir Light" w:eastAsia="Avenir Light" w:cs="Avenir Light"/>
          <w:b w:val="0"/>
          <w:i w:val="0"/>
          <w:color w:val="172126"/>
          <w:sz w:val="18"/>
        </w:rPr>
        <w:t>22.07.2014 tarihli ve 29068 sayılı Resmî Gazete</w:t>
      </w:r>
    </w:p>
    <w:p>
      <w:pPr>
        <w:spacing w:after="120"/>
      </w:pPr>
      <w:r>
        <w:rPr>
          <w:rFonts w:ascii="Avenir Light" w:hAnsi="Avenir Light" w:eastAsia="Avenir Light" w:cs="Avenir Light"/>
          <w:b w:val="0"/>
          <w:i w:val="0"/>
          <w:color w:val="0D5F31"/>
          <w:sz w:val="18"/>
        </w:rPr>
        <w:t xml:space="preserve">Konsolide sürüm: </w:t>
      </w:r>
      <w:r>
        <w:rPr>
          <w:rFonts w:ascii="Avenir Light" w:hAnsi="Avenir Light" w:eastAsia="Avenir Light" w:cs="Avenir Light"/>
          <w:b w:val="0"/>
          <w:i w:val="0"/>
          <w:color w:val="172126"/>
          <w:sz w:val="18"/>
        </w:rPr>
        <w:t>05.02.2021 tarihli ve 31386 sayılı değişiklikler işlenmiş resmî metin</w:t>
      </w:r>
    </w:p>
    <w:p>
      <w:pPr>
        <w:spacing w:after="120"/>
      </w:pPr>
      <w:r>
        <w:rPr>
          <w:rFonts w:ascii="Avenir Light" w:hAnsi="Avenir Light" w:eastAsia="Avenir Light" w:cs="Avenir Light"/>
          <w:b w:val="0"/>
          <w:i w:val="0"/>
          <w:color w:val="0D5F31"/>
          <w:sz w:val="18"/>
        </w:rPr>
        <w:t xml:space="preserve">30.08.2026 kontrolü: </w:t>
      </w:r>
      <w:r>
        <w:rPr>
          <w:rFonts w:ascii="Avenir Light" w:hAnsi="Avenir Light" w:eastAsia="Avenir Light" w:cs="Avenir Light"/>
          <w:b w:val="0"/>
          <w:i w:val="0"/>
          <w:color w:val="172126"/>
          <w:sz w:val="18"/>
        </w:rPr>
        <w:t>Tebliği açıkça yürürlükten kaldıran daha yeni bir düzenleme tespit edilmemiştir.</w:t>
      </w:r>
    </w:p>
    <w:p>
      <w:pPr>
        <w:spacing w:after="120"/>
      </w:pPr>
      <w:r>
        <w:rPr>
          <w:rFonts w:ascii="Avenir Light" w:hAnsi="Avenir Light" w:eastAsia="Avenir Light" w:cs="Avenir Light"/>
          <w:b w:val="0"/>
          <w:i w:val="0"/>
          <w:color w:val="0D5F31"/>
          <w:sz w:val="18"/>
        </w:rPr>
        <w:t xml:space="preserve">2026 ETS ilişkisi: </w:t>
      </w:r>
      <w:r>
        <w:rPr>
          <w:rFonts w:ascii="Avenir Light" w:hAnsi="Avenir Light" w:eastAsia="Avenir Light" w:cs="Avenir Light"/>
          <w:b w:val="0"/>
          <w:i w:val="0"/>
          <w:color w:val="172126"/>
          <w:sz w:val="18"/>
        </w:rPr>
        <w:t>27.08.2026 tarihli Türkiye ETS Yönetmeliği eski 2014 Yönetmeliğini kaldırmış; eski Yönetmeliğe yapılan atıfları yeni Yönetmeliğe yöneltmiştir.</w:t>
      </w:r>
    </w:p>
    <w:p>
      <w:pPr>
        <w:spacing w:after="120"/>
      </w:pPr>
      <w:r>
        <w:rPr>
          <w:rFonts w:ascii="Avenir Light" w:hAnsi="Avenir Light" w:eastAsia="Avenir Light" w:cs="Avenir Light"/>
          <w:b w:val="0"/>
          <w:i w:val="0"/>
          <w:color w:val="0D5F31"/>
          <w:sz w:val="18"/>
        </w:rPr>
        <w:t xml:space="preserve">Belge kapsamı: </w:t>
      </w:r>
      <w:r>
        <w:rPr>
          <w:rFonts w:ascii="Avenir Light" w:hAnsi="Avenir Light" w:eastAsia="Avenir Light" w:cs="Avenir Light"/>
          <w:b w:val="0"/>
          <w:i w:val="0"/>
          <w:color w:val="172126"/>
          <w:sz w:val="18"/>
        </w:rPr>
        <w:t>MADDE 1-62, GEÇİCİ MADDE 1 ve EK-1 - EK-9</w:t>
      </w:r>
    </w:p>
    <w:p>
      <w:pPr>
        <w:spacing w:after="120"/>
      </w:pPr>
      <w:r>
        <w:rPr>
          <w:rFonts w:ascii="Avenir Light" w:hAnsi="Avenir Light" w:eastAsia="Avenir Light" w:cs="Avenir Light"/>
          <w:b w:val="0"/>
          <w:i w:val="0"/>
          <w:color w:val="0D5F31"/>
          <w:sz w:val="18"/>
        </w:rPr>
        <w:t xml:space="preserve">Tipografi: </w:t>
      </w:r>
      <w:r>
        <w:rPr>
          <w:rFonts w:ascii="Avenir Light" w:hAnsi="Avenir Light" w:eastAsia="Avenir Light" w:cs="Avenir Light"/>
          <w:b w:val="0"/>
          <w:i w:val="0"/>
          <w:color w:val="172126"/>
          <w:sz w:val="18"/>
        </w:rPr>
        <w:t>Avenir Light</w:t>
      </w:r>
    </w:p>
    <w:p>
      <w:pPr>
        <w:spacing w:after="120"/>
      </w:pPr>
      <w:r>
        <w:rPr>
          <w:rFonts w:ascii="Avenir Light" w:hAnsi="Avenir Light" w:eastAsia="Avenir Light" w:cs="Avenir Light"/>
          <w:b w:val="0"/>
          <w:i w:val="0"/>
          <w:color w:val="0D5F31"/>
          <w:sz w:val="18"/>
        </w:rPr>
        <w:t xml:space="preserve">Metin işlemi: </w:t>
      </w:r>
      <w:r>
        <w:rPr>
          <w:rFonts w:ascii="Avenir Light" w:hAnsi="Avenir Light" w:eastAsia="Avenir Light" w:cs="Avenir Light"/>
          <w:b w:val="0"/>
          <w:i w:val="0"/>
          <w:color w:val="172126"/>
          <w:sz w:val="18"/>
        </w:rPr>
        <w:t>Resmî metin Word ortamında yeniden kurulmuş; tüm kelime ve noktalama belirteçleri resmî konsolide PDF ile karşılaştırılmıştır.</w:t>
      </w:r>
    </w:p>
    <w:p>
      <w:pPr>
        <w:spacing w:after="120"/>
      </w:pPr>
      <w:r>
        <w:rPr>
          <w:rFonts w:ascii="Avenir Light" w:hAnsi="Avenir Light" w:eastAsia="Avenir Light" w:cs="Avenir Light"/>
          <w:b w:val="0"/>
          <w:i w:val="0"/>
          <w:color w:val="0D5F31"/>
          <w:sz w:val="18"/>
        </w:rPr>
        <w:t xml:space="preserve">Bağlantı katmanı: </w:t>
      </w:r>
      <w:r>
        <w:rPr>
          <w:rFonts w:ascii="Avenir Light" w:hAnsi="Avenir Light" w:eastAsia="Avenir Light" w:cs="Avenir Light"/>
          <w:b w:val="0"/>
          <w:i w:val="0"/>
          <w:color w:val="172126"/>
          <w:sz w:val="18"/>
        </w:rPr>
        <w:t>Tıklanabilir içindekiler, madde atıfları, ek atıfları ve Word yer imleri.</w:t>
      </w:r>
    </w:p>
    <w:p>
      <w:pPr>
        <w:spacing w:after="120"/>
      </w:pPr>
      <w:r>
        <w:rPr>
          <w:rFonts w:ascii="Avenir Light" w:hAnsi="Avenir Light" w:eastAsia="Avenir Light" w:cs="Avenir Light"/>
          <w:b w:val="0"/>
          <w:i w:val="0"/>
          <w:color w:val="0D5F31"/>
          <w:sz w:val="18"/>
        </w:rPr>
        <w:t xml:space="preserve">Kaynak SHA-256: </w:t>
      </w:r>
      <w:r>
        <w:rPr>
          <w:rFonts w:ascii="Avenir Light" w:hAnsi="Avenir Light" w:eastAsia="Avenir Light" w:cs="Avenir Light"/>
          <w:b w:val="0"/>
          <w:i w:val="0"/>
          <w:color w:val="172126"/>
          <w:sz w:val="18"/>
        </w:rPr>
        <w:t>22a8110055cbaed1fa78ad6da534d0453320dedfb64673f5179571e5a80e615a</w:t>
      </w:r>
    </w:p>
    <w:p>
      <w:pPr>
        <w:spacing w:before="200" w:after="100"/>
      </w:pPr>
      <w:r>
        <w:rPr>
          <w:rFonts w:ascii="Avenir Light" w:hAnsi="Avenir Light" w:eastAsia="Avenir Light" w:cs="Avenir Light"/>
          <w:b w:val="0"/>
          <w:i w:val="0"/>
          <w:color w:val="0D5F31"/>
          <w:sz w:val="21"/>
        </w:rPr>
        <w:t>Resmî kaynaklar</w:t>
      </w:r>
    </w:p>
    <w:p>
      <w:hyperlink r:id="rId13">
        <w:r>
          <w:rPr>
            <w:rFonts w:ascii="Avenir Light" w:hAnsi="Avenir Light" w:eastAsia="Avenir Light" w:cs="Avenir Light"/>
            <w:color w:val="188A42"/>
            <w:sz w:val="18"/>
          </w:rPr>
          <w:t>İklim Değişikliği Başkanlığı — konsolide Tebliğ PDF'si</w:t>
        </w:r>
      </w:hyperlink>
    </w:p>
    <w:p>
      <w:hyperlink r:id="rId12">
        <w:r>
          <w:rPr>
            <w:rFonts w:ascii="Avenir Light" w:hAnsi="Avenir Light" w:eastAsia="Avenir Light" w:cs="Avenir Light"/>
            <w:color w:val="188A42"/>
            <w:sz w:val="18"/>
          </w:rPr>
          <w:t>Resmî Gazete — Türkiye ETS Yönetmeliği</w:t>
        </w:r>
      </w:hyperlink>
      <w:r>
        <w:br w:type="page"/>
      </w:r>
    </w:p>
    <w:p>
      <w:pPr>
        <w:spacing w:after="120"/>
      </w:pPr>
      <w:r>
        <w:rPr>
          <w:rFonts w:ascii="Avenir Light" w:hAnsi="Avenir Light" w:eastAsia="Avenir Light" w:cs="Avenir Light"/>
          <w:b w:val="0"/>
          <w:i w:val="0"/>
          <w:color w:val="172126"/>
          <w:sz w:val="40"/>
        </w:rPr>
        <w:t>İçindekiler</w:t>
      </w:r>
    </w:p>
    <w:p>
      <w:pPr>
        <w:spacing w:after="200"/>
      </w:pPr>
      <w:r>
        <w:rPr>
          <w:rFonts w:ascii="Avenir Light" w:hAnsi="Avenir Light" w:eastAsia="Avenir Light" w:cs="Avenir Light"/>
          <w:b w:val="0"/>
          <w:i w:val="0"/>
          <w:color w:val="58666B"/>
          <w:sz w:val="18"/>
        </w:rPr>
        <w:t>Başlıklar, maddeler ve ekler belge içindeki ilgili yere bağlanır.</w:t>
      </w:r>
    </w:p>
    <w:p>
      <w:pPr>
        <w:spacing w:before="120" w:after="40"/>
      </w:pPr>
      <w:r>
        <w:rPr>
          <w:rFonts w:ascii="Avenir Light" w:hAnsi="Avenir Light" w:eastAsia="Avenir Light" w:cs="Avenir Light"/>
          <w:b w:val="0"/>
          <w:i w:val="0"/>
          <w:color w:val="0D5F31"/>
          <w:sz w:val="17"/>
        </w:rPr>
        <w:t>MADDELER</w:t>
      </w:r>
    </w:p>
    <w:p>
      <w:pPr>
        <w:pStyle w:val="TocEntry"/>
        <w:spacing w:after="20"/>
      </w:pPr>
      <w:hyperlink w:anchor="madde_1" w:history="1">
        <w:r>
          <w:rPr>
            <w:rFonts w:ascii="Avenir Light" w:hAnsi="Avenir Light" w:eastAsia="Avenir Light" w:cs="Avenir Light"/>
            <w:color w:val="172126"/>
            <w:sz w:val="16"/>
            <w:szCs w:val="16"/>
          </w:rPr>
          <w:t xml:space="preserve">MADDE 1  Amaç</w:t>
        </w:r>
      </w:hyperlink>
    </w:p>
    <w:p>
      <w:pPr>
        <w:pStyle w:val="TocEntry"/>
        <w:spacing w:after="20"/>
      </w:pPr>
      <w:hyperlink w:anchor="madde_2" w:history="1">
        <w:r>
          <w:rPr>
            <w:rFonts w:ascii="Avenir Light" w:hAnsi="Avenir Light" w:eastAsia="Avenir Light" w:cs="Avenir Light"/>
            <w:color w:val="172126"/>
            <w:sz w:val="16"/>
            <w:szCs w:val="16"/>
          </w:rPr>
          <w:t xml:space="preserve">MADDE 2  Kapsam</w:t>
        </w:r>
      </w:hyperlink>
    </w:p>
    <w:p>
      <w:pPr>
        <w:pStyle w:val="TocEntry"/>
        <w:spacing w:after="20"/>
      </w:pPr>
      <w:hyperlink w:anchor="madde_3" w:history="1">
        <w:r>
          <w:rPr>
            <w:rFonts w:ascii="Avenir Light" w:hAnsi="Avenir Light" w:eastAsia="Avenir Light" w:cs="Avenir Light"/>
            <w:color w:val="172126"/>
            <w:sz w:val="16"/>
            <w:szCs w:val="16"/>
          </w:rPr>
          <w:t xml:space="preserve">MADDE 3  Dayanak</w:t>
        </w:r>
      </w:hyperlink>
    </w:p>
    <w:p>
      <w:pPr>
        <w:pStyle w:val="TocEntry"/>
        <w:spacing w:after="20"/>
      </w:pPr>
      <w:hyperlink w:anchor="madde_4" w:history="1">
        <w:r>
          <w:rPr>
            <w:rFonts w:ascii="Avenir Light" w:hAnsi="Avenir Light" w:eastAsia="Avenir Light" w:cs="Avenir Light"/>
            <w:color w:val="172126"/>
            <w:sz w:val="16"/>
            <w:szCs w:val="16"/>
          </w:rPr>
          <w:t xml:space="preserve">MADDE 4  Tanımlar ve kısaltmalar</w:t>
        </w:r>
      </w:hyperlink>
    </w:p>
    <w:p>
      <w:pPr>
        <w:pStyle w:val="TocEntry"/>
        <w:spacing w:after="20"/>
      </w:pPr>
      <w:hyperlink w:anchor="madde_5" w:history="1">
        <w:r>
          <w:rPr>
            <w:rFonts w:ascii="Avenir Light" w:hAnsi="Avenir Light" w:eastAsia="Avenir Light" w:cs="Avenir Light"/>
            <w:color w:val="172126"/>
            <w:sz w:val="16"/>
            <w:szCs w:val="16"/>
          </w:rPr>
          <w:t xml:space="preserve">MADDE 5  Eksiksizlik</w:t>
        </w:r>
      </w:hyperlink>
    </w:p>
    <w:p>
      <w:pPr>
        <w:pStyle w:val="TocEntry"/>
        <w:spacing w:after="20"/>
      </w:pPr>
      <w:hyperlink w:anchor="madde_6" w:history="1">
        <w:r>
          <w:rPr>
            <w:rFonts w:ascii="Avenir Light" w:hAnsi="Avenir Light" w:eastAsia="Avenir Light" w:cs="Avenir Light"/>
            <w:color w:val="172126"/>
            <w:sz w:val="16"/>
            <w:szCs w:val="16"/>
          </w:rPr>
          <w:t xml:space="preserve">MADDE 6  Tutarlılık, karşılaştırılabilirlik ve şeffaflık</w:t>
        </w:r>
      </w:hyperlink>
    </w:p>
    <w:p>
      <w:pPr>
        <w:pStyle w:val="TocEntry"/>
        <w:spacing w:after="20"/>
      </w:pPr>
      <w:hyperlink w:anchor="madde_7" w:history="1">
        <w:r>
          <w:rPr>
            <w:rFonts w:ascii="Avenir Light" w:hAnsi="Avenir Light" w:eastAsia="Avenir Light" w:cs="Avenir Light"/>
            <w:color w:val="172126"/>
            <w:sz w:val="16"/>
            <w:szCs w:val="16"/>
          </w:rPr>
          <w:t xml:space="preserve">MADDE 7  Doğruluk</w:t>
        </w:r>
      </w:hyperlink>
    </w:p>
    <w:p>
      <w:pPr>
        <w:pStyle w:val="TocEntry"/>
        <w:spacing w:after="20"/>
      </w:pPr>
      <w:hyperlink w:anchor="madde_8" w:history="1">
        <w:r>
          <w:rPr>
            <w:rFonts w:ascii="Avenir Light" w:hAnsi="Avenir Light" w:eastAsia="Avenir Light" w:cs="Avenir Light"/>
            <w:color w:val="172126"/>
            <w:sz w:val="16"/>
            <w:szCs w:val="16"/>
          </w:rPr>
          <w:t xml:space="preserve">MADDE 8  İzleme ve raporlama yönteminin bütünlüğü</w:t>
        </w:r>
      </w:hyperlink>
    </w:p>
    <w:p>
      <w:pPr>
        <w:pStyle w:val="TocEntry"/>
        <w:spacing w:after="20"/>
      </w:pPr>
      <w:hyperlink w:anchor="madde_9" w:history="1">
        <w:r>
          <w:rPr>
            <w:rFonts w:ascii="Avenir Light" w:hAnsi="Avenir Light" w:eastAsia="Avenir Light" w:cs="Avenir Light"/>
            <w:color w:val="172126"/>
            <w:sz w:val="16"/>
            <w:szCs w:val="16"/>
          </w:rPr>
          <w:t xml:space="preserve">MADDE 9  Sürekli gelişim</w:t>
        </w:r>
      </w:hyperlink>
    </w:p>
    <w:p>
      <w:pPr>
        <w:pStyle w:val="TocEntry"/>
        <w:spacing w:after="20"/>
      </w:pPr>
      <w:hyperlink w:anchor="madde_10" w:history="1">
        <w:r>
          <w:rPr>
            <w:rFonts w:ascii="Avenir Light" w:hAnsi="Avenir Light" w:eastAsia="Avenir Light" w:cs="Avenir Light"/>
            <w:color w:val="172126"/>
            <w:sz w:val="16"/>
            <w:szCs w:val="16"/>
          </w:rPr>
          <w:t xml:space="preserve">MADDE 10  Genel yükümlülük</w:t>
        </w:r>
      </w:hyperlink>
    </w:p>
    <w:p>
      <w:pPr>
        <w:pStyle w:val="TocEntry"/>
        <w:spacing w:after="20"/>
      </w:pPr>
      <w:hyperlink w:anchor="madde_11" w:history="1">
        <w:r>
          <w:rPr>
            <w:rFonts w:ascii="Avenir Light" w:hAnsi="Avenir Light" w:eastAsia="Avenir Light" w:cs="Avenir Light"/>
            <w:color w:val="172126"/>
            <w:sz w:val="16"/>
            <w:szCs w:val="16"/>
          </w:rPr>
          <w:t xml:space="preserve">MADDE 11  İzleme planının içeriği ve sunulması</w:t>
        </w:r>
      </w:hyperlink>
    </w:p>
    <w:p>
      <w:pPr>
        <w:pStyle w:val="TocEntry"/>
        <w:spacing w:after="20"/>
      </w:pPr>
      <w:hyperlink w:anchor="madde_12" w:history="1">
        <w:r>
          <w:rPr>
            <w:rFonts w:ascii="Avenir Light" w:hAnsi="Avenir Light" w:eastAsia="Avenir Light" w:cs="Avenir Light"/>
            <w:color w:val="172126"/>
            <w:sz w:val="16"/>
            <w:szCs w:val="16"/>
          </w:rPr>
          <w:t xml:space="preserve">MADDE 12  Basitleştirilmiş izleme planları</w:t>
        </w:r>
      </w:hyperlink>
    </w:p>
    <w:p>
      <w:pPr>
        <w:pStyle w:val="TocEntry"/>
        <w:spacing w:after="20"/>
      </w:pPr>
      <w:hyperlink w:anchor="madde_13" w:history="1">
        <w:r>
          <w:rPr>
            <w:rFonts w:ascii="Avenir Light" w:hAnsi="Avenir Light" w:eastAsia="Avenir Light" w:cs="Avenir Light"/>
            <w:color w:val="172126"/>
            <w:sz w:val="16"/>
            <w:szCs w:val="16"/>
          </w:rPr>
          <w:t xml:space="preserve">MADDE 13  İzleme planında değişiklikler</w:t>
        </w:r>
      </w:hyperlink>
    </w:p>
    <w:p>
      <w:pPr>
        <w:pStyle w:val="TocEntry"/>
        <w:spacing w:after="20"/>
      </w:pPr>
      <w:hyperlink w:anchor="madde_14" w:history="1">
        <w:r>
          <w:rPr>
            <w:rFonts w:ascii="Avenir Light" w:hAnsi="Avenir Light" w:eastAsia="Avenir Light" w:cs="Avenir Light"/>
            <w:color w:val="172126"/>
            <w:sz w:val="16"/>
            <w:szCs w:val="16"/>
          </w:rPr>
          <w:t xml:space="preserve">MADDE 14  İzleme planı değişikliklerinin onaylanması</w:t>
        </w:r>
      </w:hyperlink>
    </w:p>
    <w:p>
      <w:pPr>
        <w:pStyle w:val="TocEntry"/>
        <w:spacing w:after="20"/>
      </w:pPr>
      <w:hyperlink w:anchor="madde_15" w:history="1">
        <w:r>
          <w:rPr>
            <w:rFonts w:ascii="Avenir Light" w:hAnsi="Avenir Light" w:eastAsia="Avenir Light" w:cs="Avenir Light"/>
            <w:color w:val="172126"/>
            <w:sz w:val="16"/>
            <w:szCs w:val="16"/>
          </w:rPr>
          <w:t xml:space="preserve">MADDE 15  Değişikliklerin uygulanması ve kayıtlarının tutulması</w:t>
        </w:r>
      </w:hyperlink>
    </w:p>
    <w:p>
      <w:pPr>
        <w:pStyle w:val="TocEntry"/>
        <w:spacing w:after="20"/>
      </w:pPr>
      <w:hyperlink w:anchor="madde_16" w:history="1">
        <w:r>
          <w:rPr>
            <w:rFonts w:ascii="Avenir Light" w:hAnsi="Avenir Light" w:eastAsia="Avenir Light" w:cs="Avenir Light"/>
            <w:color w:val="172126"/>
            <w:sz w:val="16"/>
            <w:szCs w:val="16"/>
          </w:rPr>
          <w:t xml:space="preserve">MADDE 16  Teknik olarak uygulanabilirlik ve makul olmayan maliyetler</w:t>
        </w:r>
      </w:hyperlink>
    </w:p>
    <w:p>
      <w:pPr>
        <w:pStyle w:val="TocEntry"/>
        <w:spacing w:after="20"/>
      </w:pPr>
      <w:hyperlink w:anchor="madde_17" w:history="1">
        <w:r>
          <w:rPr>
            <w:rFonts w:ascii="Avenir Light" w:hAnsi="Avenir Light" w:eastAsia="Avenir Light" w:cs="Avenir Light"/>
            <w:color w:val="172126"/>
            <w:sz w:val="16"/>
            <w:szCs w:val="16"/>
          </w:rPr>
          <w:t xml:space="preserve">MADDE 17  Tesislerin, kaynak akışlarının ve emisyon kaynaklarının sınıflandırılması</w:t>
        </w:r>
      </w:hyperlink>
    </w:p>
    <w:p>
      <w:pPr>
        <w:pStyle w:val="TocEntry"/>
        <w:spacing w:after="20"/>
      </w:pPr>
      <w:hyperlink w:anchor="madde_18" w:history="1">
        <w:r>
          <w:rPr>
            <w:rFonts w:ascii="Avenir Light" w:hAnsi="Avenir Light" w:eastAsia="Avenir Light" w:cs="Avenir Light"/>
            <w:color w:val="172126"/>
            <w:sz w:val="16"/>
            <w:szCs w:val="16"/>
          </w:rPr>
          <w:t xml:space="preserve">MADDE 18  İzleme sınırları</w:t>
        </w:r>
      </w:hyperlink>
    </w:p>
    <w:p>
      <w:pPr>
        <w:pStyle w:val="TocEntry"/>
        <w:spacing w:after="20"/>
      </w:pPr>
      <w:hyperlink w:anchor="madde_19" w:history="1">
        <w:r>
          <w:rPr>
            <w:rFonts w:ascii="Avenir Light" w:hAnsi="Avenir Light" w:eastAsia="Avenir Light" w:cs="Avenir Light"/>
            <w:color w:val="172126"/>
            <w:sz w:val="16"/>
            <w:szCs w:val="16"/>
          </w:rPr>
          <w:t xml:space="preserve">MADDE 19  İzleme yöntemlerinin seçimi</w:t>
        </w:r>
      </w:hyperlink>
    </w:p>
    <w:p>
      <w:pPr>
        <w:pStyle w:val="TocEntry"/>
        <w:spacing w:after="20"/>
      </w:pPr>
      <w:hyperlink w:anchor="madde_20" w:history="1">
        <w:r>
          <w:rPr>
            <w:rFonts w:ascii="Avenir Light" w:hAnsi="Avenir Light" w:eastAsia="Avenir Light" w:cs="Avenir Light"/>
            <w:color w:val="172126"/>
            <w:sz w:val="16"/>
            <w:szCs w:val="16"/>
          </w:rPr>
          <w:t xml:space="preserve">MADDE 20  Asgari yöntem</w:t>
        </w:r>
      </w:hyperlink>
    </w:p>
    <w:p>
      <w:pPr>
        <w:pStyle w:val="TocEntry"/>
        <w:spacing w:after="20"/>
      </w:pPr>
      <w:hyperlink w:anchor="madde_21" w:history="1">
        <w:r>
          <w:rPr>
            <w:rFonts w:ascii="Avenir Light" w:hAnsi="Avenir Light" w:eastAsia="Avenir Light" w:cs="Avenir Light"/>
            <w:color w:val="172126"/>
            <w:sz w:val="16"/>
            <w:szCs w:val="16"/>
          </w:rPr>
          <w:t xml:space="preserve">MADDE 21  İzleme yöntemine ilişkin geçici değişiklikler</w:t>
        </w:r>
      </w:hyperlink>
    </w:p>
    <w:p>
      <w:pPr>
        <w:pStyle w:val="TocEntry"/>
        <w:spacing w:after="20"/>
      </w:pPr>
      <w:hyperlink w:anchor="madde_22" w:history="1">
        <w:r>
          <w:rPr>
            <w:rFonts w:ascii="Avenir Light" w:hAnsi="Avenir Light" w:eastAsia="Avenir Light" w:cs="Avenir Light"/>
            <w:color w:val="172126"/>
            <w:sz w:val="16"/>
            <w:szCs w:val="16"/>
          </w:rPr>
          <w:t xml:space="preserve">MADDE 22  Emisyonların standart yöntemle hesaplanması</w:t>
        </w:r>
      </w:hyperlink>
    </w:p>
    <w:p>
      <w:pPr>
        <w:pStyle w:val="TocEntry"/>
        <w:spacing w:after="20"/>
      </w:pPr>
      <w:hyperlink w:anchor="madde_23" w:history="1">
        <w:r>
          <w:rPr>
            <w:rFonts w:ascii="Avenir Light" w:hAnsi="Avenir Light" w:eastAsia="Avenir Light" w:cs="Avenir Light"/>
            <w:color w:val="172126"/>
            <w:sz w:val="16"/>
            <w:szCs w:val="16"/>
          </w:rPr>
          <w:t xml:space="preserve">MADDE 23  Emisyonların kütle denge yöntemiyle hesaplanması</w:t>
        </w:r>
      </w:hyperlink>
    </w:p>
    <w:p>
      <w:pPr>
        <w:pStyle w:val="TocEntry"/>
        <w:spacing w:after="20"/>
      </w:pPr>
      <w:hyperlink w:anchor="madde_24" w:history="1">
        <w:r>
          <w:rPr>
            <w:rFonts w:ascii="Avenir Light" w:hAnsi="Avenir Light" w:eastAsia="Avenir Light" w:cs="Avenir Light"/>
            <w:color w:val="172126"/>
            <w:sz w:val="16"/>
            <w:szCs w:val="16"/>
          </w:rPr>
          <w:t xml:space="preserve">MADDE 24  Uygulanabilir kademeler</w:t>
        </w:r>
      </w:hyperlink>
    </w:p>
    <w:p>
      <w:r>
        <w:br w:type="page"/>
      </w:r>
    </w:p>
    <w:p>
      <w:pPr>
        <w:spacing w:after="120"/>
      </w:pPr>
      <w:r>
        <w:rPr>
          <w:rFonts w:ascii="Avenir Light" w:hAnsi="Avenir Light" w:eastAsia="Avenir Light" w:cs="Avenir Light"/>
          <w:b w:val="0"/>
          <w:i w:val="0"/>
          <w:color w:val="172126"/>
          <w:sz w:val="40"/>
        </w:rPr>
        <w:t>İçindekiler (devam)</w:t>
      </w:r>
    </w:p>
    <w:p>
      <w:pPr>
        <w:spacing w:after="200"/>
      </w:pPr>
      <w:r>
        <w:rPr>
          <w:rFonts w:ascii="Avenir Light" w:hAnsi="Avenir Light" w:eastAsia="Avenir Light" w:cs="Avenir Light"/>
          <w:b w:val="0"/>
          <w:i w:val="0"/>
          <w:color w:val="58666B"/>
          <w:sz w:val="18"/>
        </w:rPr>
        <w:t>Başlıklar, maddeler ve ekler belge içindeki ilgili yere bağlanır.</w:t>
      </w:r>
    </w:p>
    <w:p>
      <w:pPr>
        <w:spacing w:before="120" w:after="40"/>
      </w:pPr>
      <w:r>
        <w:rPr>
          <w:rFonts w:ascii="Avenir Light" w:hAnsi="Avenir Light" w:eastAsia="Avenir Light" w:cs="Avenir Light"/>
          <w:b w:val="0"/>
          <w:i w:val="0"/>
          <w:color w:val="0D5F31"/>
          <w:sz w:val="17"/>
        </w:rPr>
        <w:t>MADDELER</w:t>
      </w:r>
    </w:p>
    <w:p>
      <w:pPr>
        <w:pStyle w:val="TocEntry"/>
        <w:spacing w:after="20"/>
      </w:pPr>
      <w:hyperlink w:anchor="madde_25" w:history="1">
        <w:r>
          <w:rPr>
            <w:rFonts w:ascii="Avenir Light" w:hAnsi="Avenir Light" w:eastAsia="Avenir Light" w:cs="Avenir Light"/>
            <w:color w:val="172126"/>
            <w:sz w:val="16"/>
            <w:szCs w:val="16"/>
          </w:rPr>
          <w:t xml:space="preserve">MADDE 25  Faaliyet verisinin belirlenmesi</w:t>
        </w:r>
      </w:hyperlink>
    </w:p>
    <w:p>
      <w:pPr>
        <w:pStyle w:val="TocEntry"/>
        <w:spacing w:after="20"/>
      </w:pPr>
      <w:hyperlink w:anchor="madde_26" w:history="1">
        <w:r>
          <w:rPr>
            <w:rFonts w:ascii="Avenir Light" w:hAnsi="Avenir Light" w:eastAsia="Avenir Light" w:cs="Avenir Light"/>
            <w:color w:val="172126"/>
            <w:sz w:val="16"/>
            <w:szCs w:val="16"/>
          </w:rPr>
          <w:t xml:space="preserve">MADDE 26  İşletmenin kontrolü altındaki ölçüm sistemleri</w:t>
        </w:r>
      </w:hyperlink>
    </w:p>
    <w:p>
      <w:pPr>
        <w:pStyle w:val="TocEntry"/>
        <w:spacing w:after="20"/>
      </w:pPr>
      <w:hyperlink w:anchor="madde_27" w:history="1">
        <w:r>
          <w:rPr>
            <w:rFonts w:ascii="Avenir Light" w:hAnsi="Avenir Light" w:eastAsia="Avenir Light" w:cs="Avenir Light"/>
            <w:color w:val="172126"/>
            <w:sz w:val="16"/>
            <w:szCs w:val="16"/>
          </w:rPr>
          <w:t xml:space="preserve">MADDE 27  İşletmenin kontrolü dışındaki ölçüm sistemleri</w:t>
        </w:r>
      </w:hyperlink>
    </w:p>
    <w:p>
      <w:pPr>
        <w:pStyle w:val="TocEntry"/>
        <w:spacing w:after="20"/>
      </w:pPr>
      <w:hyperlink w:anchor="madde_28" w:history="1">
        <w:r>
          <w:rPr>
            <w:rFonts w:ascii="Avenir Light" w:hAnsi="Avenir Light" w:eastAsia="Avenir Light" w:cs="Avenir Light"/>
            <w:color w:val="172126"/>
            <w:sz w:val="16"/>
            <w:szCs w:val="16"/>
          </w:rPr>
          <w:t xml:space="preserve">MADDE 28  Hesaplama faktörlerinin belirlenmesi</w:t>
        </w:r>
      </w:hyperlink>
    </w:p>
    <w:p>
      <w:pPr>
        <w:pStyle w:val="TocEntry"/>
        <w:spacing w:after="20"/>
      </w:pPr>
      <w:hyperlink w:anchor="madde_29" w:history="1">
        <w:r>
          <w:rPr>
            <w:rFonts w:ascii="Avenir Light" w:hAnsi="Avenir Light" w:eastAsia="Avenir Light" w:cs="Avenir Light"/>
            <w:color w:val="172126"/>
            <w:sz w:val="16"/>
            <w:szCs w:val="16"/>
          </w:rPr>
          <w:t xml:space="preserve">MADDE 29  Hesaplama faktörleri için varsayılan değerler</w:t>
        </w:r>
      </w:hyperlink>
    </w:p>
    <w:p>
      <w:pPr>
        <w:pStyle w:val="TocEntry"/>
        <w:spacing w:after="20"/>
      </w:pPr>
      <w:hyperlink w:anchor="madde_30" w:history="1">
        <w:r>
          <w:rPr>
            <w:rFonts w:ascii="Avenir Light" w:hAnsi="Avenir Light" w:eastAsia="Avenir Light" w:cs="Avenir Light"/>
            <w:color w:val="172126"/>
            <w:sz w:val="16"/>
            <w:szCs w:val="16"/>
          </w:rPr>
          <w:t xml:space="preserve">MADDE 30  Analize dayanan hesaplama faktörleri</w:t>
        </w:r>
      </w:hyperlink>
    </w:p>
    <w:p>
      <w:pPr>
        <w:pStyle w:val="TocEntry"/>
        <w:spacing w:after="20"/>
      </w:pPr>
      <w:hyperlink w:anchor="madde_31" w:history="1">
        <w:r>
          <w:rPr>
            <w:rFonts w:ascii="Avenir Light" w:hAnsi="Avenir Light" w:eastAsia="Avenir Light" w:cs="Avenir Light"/>
            <w:color w:val="172126"/>
            <w:sz w:val="16"/>
            <w:szCs w:val="16"/>
          </w:rPr>
          <w:t xml:space="preserve">MADDE 31  Örnekleme planı</w:t>
        </w:r>
      </w:hyperlink>
    </w:p>
    <w:p>
      <w:pPr>
        <w:pStyle w:val="TocEntry"/>
        <w:spacing w:after="20"/>
      </w:pPr>
      <w:hyperlink w:anchor="madde_32" w:history="1">
        <w:r>
          <w:rPr>
            <w:rFonts w:ascii="Avenir Light" w:hAnsi="Avenir Light" w:eastAsia="Avenir Light" w:cs="Avenir Light"/>
            <w:color w:val="172126"/>
            <w:sz w:val="16"/>
            <w:szCs w:val="16"/>
          </w:rPr>
          <w:t xml:space="preserve">MADDE 32  Laboratuvarların kullanımı</w:t>
        </w:r>
      </w:hyperlink>
    </w:p>
    <w:p>
      <w:pPr>
        <w:pStyle w:val="TocEntry"/>
        <w:spacing w:after="20"/>
      </w:pPr>
      <w:hyperlink w:anchor="madde_33" w:history="1">
        <w:r>
          <w:rPr>
            <w:rFonts w:ascii="Avenir Light" w:hAnsi="Avenir Light" w:eastAsia="Avenir Light" w:cs="Avenir Light"/>
            <w:color w:val="172126"/>
            <w:sz w:val="16"/>
            <w:szCs w:val="16"/>
          </w:rPr>
          <w:t xml:space="preserve">MADDE 33  Analiz sıklığı</w:t>
        </w:r>
      </w:hyperlink>
    </w:p>
    <w:p>
      <w:pPr>
        <w:pStyle w:val="TocEntry"/>
        <w:spacing w:after="20"/>
      </w:pPr>
      <w:hyperlink w:anchor="madde_34" w:history="1">
        <w:r>
          <w:rPr>
            <w:rFonts w:ascii="Avenir Light" w:hAnsi="Avenir Light" w:eastAsia="Avenir Light" w:cs="Avenir Light"/>
            <w:color w:val="172126"/>
            <w:sz w:val="16"/>
            <w:szCs w:val="16"/>
          </w:rPr>
          <w:t xml:space="preserve">MADDE 34  (Değişik ibare:RG-5/2/2021-31386) CO 2 için emisyon faktörleri</w:t>
        </w:r>
      </w:hyperlink>
    </w:p>
    <w:p>
      <w:pPr>
        <w:pStyle w:val="TocEntry"/>
        <w:spacing w:after="20"/>
      </w:pPr>
      <w:hyperlink w:anchor="madde_35" w:history="1">
        <w:r>
          <w:rPr>
            <w:rFonts w:ascii="Avenir Light" w:hAnsi="Avenir Light" w:eastAsia="Avenir Light" w:cs="Avenir Light"/>
            <w:color w:val="172126"/>
            <w:sz w:val="16"/>
            <w:szCs w:val="16"/>
          </w:rPr>
          <w:t xml:space="preserve">MADDE 35  Yükseltgenme ve dönüşüm faktörleri</w:t>
        </w:r>
      </w:hyperlink>
    </w:p>
    <w:p>
      <w:pPr>
        <w:pStyle w:val="TocEntry"/>
        <w:spacing w:after="20"/>
      </w:pPr>
      <w:hyperlink w:anchor="madde_36" w:history="1">
        <w:r>
          <w:rPr>
            <w:rFonts w:ascii="Avenir Light" w:hAnsi="Avenir Light" w:eastAsia="Avenir Light" w:cs="Avenir Light"/>
            <w:color w:val="172126"/>
            <w:sz w:val="16"/>
            <w:szCs w:val="16"/>
          </w:rPr>
          <w:t xml:space="preserve">MADDE 36  Biyokütle kaynak akışları</w:t>
        </w:r>
      </w:hyperlink>
    </w:p>
    <w:p>
      <w:pPr>
        <w:pStyle w:val="TocEntry"/>
        <w:spacing w:after="20"/>
      </w:pPr>
      <w:hyperlink w:anchor="madde_37" w:history="1">
        <w:r>
          <w:rPr>
            <w:rFonts w:ascii="Avenir Light" w:hAnsi="Avenir Light" w:eastAsia="Avenir Light" w:cs="Avenir Light"/>
            <w:color w:val="172126"/>
            <w:sz w:val="16"/>
            <w:szCs w:val="16"/>
          </w:rPr>
          <w:t xml:space="preserve">MADDE 37  Biyokütle ve fosil karbon oranının belirlenmesi</w:t>
        </w:r>
      </w:hyperlink>
    </w:p>
    <w:p>
      <w:pPr>
        <w:pStyle w:val="TocEntry"/>
        <w:spacing w:after="20"/>
      </w:pPr>
      <w:hyperlink w:anchor="madde_38" w:history="1">
        <w:r>
          <w:rPr>
            <w:rFonts w:ascii="Avenir Light" w:hAnsi="Avenir Light" w:eastAsia="Avenir Light" w:cs="Avenir Light"/>
            <w:color w:val="172126"/>
            <w:sz w:val="16"/>
            <w:szCs w:val="16"/>
          </w:rPr>
          <w:t xml:space="preserve">MADDE 38  Ölçüm temelli izleme yönteminin kullanımı</w:t>
        </w:r>
      </w:hyperlink>
    </w:p>
    <w:p>
      <w:pPr>
        <w:pStyle w:val="TocEntry"/>
        <w:spacing w:after="20"/>
      </w:pPr>
      <w:hyperlink w:anchor="madde_39" w:history="1">
        <w:r>
          <w:rPr>
            <w:rFonts w:ascii="Avenir Light" w:hAnsi="Avenir Light" w:eastAsia="Avenir Light" w:cs="Avenir Light"/>
            <w:color w:val="172126"/>
            <w:sz w:val="16"/>
            <w:szCs w:val="16"/>
          </w:rPr>
          <w:t xml:space="preserve">MADDE 39  Kademe gereksinimleri</w:t>
        </w:r>
      </w:hyperlink>
    </w:p>
    <w:p>
      <w:pPr>
        <w:pStyle w:val="TocEntry"/>
        <w:spacing w:after="20"/>
      </w:pPr>
      <w:hyperlink w:anchor="madde_40" w:history="1">
        <w:r>
          <w:rPr>
            <w:rFonts w:ascii="Avenir Light" w:hAnsi="Avenir Light" w:eastAsia="Avenir Light" w:cs="Avenir Light"/>
            <w:color w:val="172126"/>
            <w:sz w:val="16"/>
            <w:szCs w:val="16"/>
          </w:rPr>
          <w:t xml:space="preserve">MADDE 40  Ölçüm standartları ve laboratuvarlar</w:t>
        </w:r>
      </w:hyperlink>
    </w:p>
    <w:p>
      <w:pPr>
        <w:pStyle w:val="TocEntry"/>
        <w:spacing w:after="20"/>
      </w:pPr>
      <w:hyperlink w:anchor="madde_41" w:history="1">
        <w:r>
          <w:rPr>
            <w:rFonts w:ascii="Avenir Light" w:hAnsi="Avenir Light" w:eastAsia="Avenir Light" w:cs="Avenir Light"/>
            <w:color w:val="172126"/>
            <w:sz w:val="16"/>
            <w:szCs w:val="16"/>
          </w:rPr>
          <w:t xml:space="preserve">MADDE 41  Emisyonların belirlenmesi</w:t>
        </w:r>
      </w:hyperlink>
    </w:p>
    <w:p>
      <w:pPr>
        <w:pStyle w:val="TocEntry"/>
        <w:spacing w:after="20"/>
      </w:pPr>
      <w:hyperlink w:anchor="madde_42" w:history="1">
        <w:r>
          <w:rPr>
            <w:rFonts w:ascii="Avenir Light" w:hAnsi="Avenir Light" w:eastAsia="Avenir Light" w:cs="Avenir Light"/>
            <w:color w:val="172126"/>
            <w:sz w:val="16"/>
            <w:szCs w:val="16"/>
          </w:rPr>
          <w:t xml:space="preserve">MADDE 42  Veri toplanması</w:t>
        </w:r>
      </w:hyperlink>
    </w:p>
    <w:p>
      <w:pPr>
        <w:pStyle w:val="TocEntry"/>
        <w:spacing w:after="20"/>
      </w:pPr>
      <w:hyperlink w:anchor="madde_43" w:history="1">
        <w:r>
          <w:rPr>
            <w:rFonts w:ascii="Avenir Light" w:hAnsi="Avenir Light" w:eastAsia="Avenir Light" w:cs="Avenir Light"/>
            <w:color w:val="172126"/>
            <w:sz w:val="16"/>
            <w:szCs w:val="16"/>
          </w:rPr>
          <w:t xml:space="preserve">MADDE 43  Kayıp veri</w:t>
        </w:r>
      </w:hyperlink>
    </w:p>
    <w:p>
      <w:pPr>
        <w:pStyle w:val="TocEntry"/>
        <w:spacing w:after="20"/>
      </w:pPr>
      <w:hyperlink w:anchor="madde_44" w:history="1">
        <w:r>
          <w:rPr>
            <w:rFonts w:ascii="Avenir Light" w:hAnsi="Avenir Light" w:eastAsia="Avenir Light" w:cs="Avenir Light"/>
            <w:color w:val="172126"/>
            <w:sz w:val="16"/>
            <w:szCs w:val="16"/>
          </w:rPr>
          <w:t xml:space="preserve">MADDE 44  Emisyon hesabının teyidi</w:t>
        </w:r>
      </w:hyperlink>
    </w:p>
    <w:p>
      <w:pPr>
        <w:pStyle w:val="TocEntry"/>
        <w:spacing w:after="20"/>
      </w:pPr>
      <w:hyperlink w:anchor="madde_45" w:history="1">
        <w:r>
          <w:rPr>
            <w:rFonts w:ascii="Avenir Light" w:hAnsi="Avenir Light" w:eastAsia="Avenir Light" w:cs="Avenir Light"/>
            <w:color w:val="172126"/>
            <w:sz w:val="16"/>
            <w:szCs w:val="16"/>
          </w:rPr>
          <w:t xml:space="preserve">MADDE 45  Düşük emisyona sahip tesisler</w:t>
        </w:r>
      </w:hyperlink>
    </w:p>
    <w:p>
      <w:pPr>
        <w:pStyle w:val="TocEntry"/>
        <w:spacing w:after="20"/>
      </w:pPr>
      <w:hyperlink w:anchor="madde_46" w:history="1">
        <w:r>
          <w:rPr>
            <w:rFonts w:ascii="Avenir Light" w:hAnsi="Avenir Light" w:eastAsia="Avenir Light" w:cs="Avenir Light"/>
            <w:color w:val="172126"/>
            <w:sz w:val="16"/>
            <w:szCs w:val="16"/>
          </w:rPr>
          <w:t xml:space="preserve">MADDE 46  Dâhili (Değişik ibare:RG-5/2/2021-31386) CO 2</w:t>
        </w:r>
      </w:hyperlink>
    </w:p>
    <w:p>
      <w:pPr>
        <w:pStyle w:val="TocEntry"/>
        <w:spacing w:after="20"/>
      </w:pPr>
      <w:hyperlink w:anchor="madde_47" w:history="1">
        <w:r>
          <w:rPr>
            <w:rFonts w:ascii="Avenir Light" w:hAnsi="Avenir Light" w:eastAsia="Avenir Light" w:cs="Avenir Light"/>
            <w:color w:val="172126"/>
            <w:sz w:val="16"/>
            <w:szCs w:val="16"/>
          </w:rPr>
          <w:t xml:space="preserve">MADDE 47  Transfer edilen (Değişik ibare:RG-5/2/2021-31386) CO 2</w:t>
        </w:r>
      </w:hyperlink>
    </w:p>
    <w:p>
      <w:pPr>
        <w:pStyle w:val="TocEntry"/>
        <w:spacing w:after="20"/>
      </w:pPr>
      <w:hyperlink w:anchor="madde_48" w:history="1">
        <w:r>
          <w:rPr>
            <w:rFonts w:ascii="Avenir Light" w:hAnsi="Avenir Light" w:eastAsia="Avenir Light" w:cs="Avenir Light"/>
            <w:color w:val="172126"/>
            <w:sz w:val="16"/>
            <w:szCs w:val="16"/>
          </w:rPr>
          <w:t xml:space="preserve">MADDE 48  Veri akış faaliyetleri</w:t>
        </w:r>
      </w:hyperlink>
    </w:p>
    <w:p>
      <w:r>
        <w:br w:type="page"/>
      </w:r>
    </w:p>
    <w:p>
      <w:pPr>
        <w:spacing w:after="120"/>
      </w:pPr>
      <w:r>
        <w:rPr>
          <w:rFonts w:ascii="Avenir Light" w:hAnsi="Avenir Light" w:eastAsia="Avenir Light" w:cs="Avenir Light"/>
          <w:b w:val="0"/>
          <w:i w:val="0"/>
          <w:color w:val="172126"/>
          <w:sz w:val="40"/>
        </w:rPr>
        <w:t>İçindekiler (devam)</w:t>
      </w:r>
    </w:p>
    <w:p>
      <w:pPr>
        <w:spacing w:after="200"/>
      </w:pPr>
      <w:r>
        <w:rPr>
          <w:rFonts w:ascii="Avenir Light" w:hAnsi="Avenir Light" w:eastAsia="Avenir Light" w:cs="Avenir Light"/>
          <w:b w:val="0"/>
          <w:i w:val="0"/>
          <w:color w:val="58666B"/>
          <w:sz w:val="18"/>
        </w:rPr>
        <w:t>Başlıklar, maddeler ve ekler belge içindeki ilgili yere bağlanır.</w:t>
      </w:r>
    </w:p>
    <w:p>
      <w:pPr>
        <w:spacing w:before="120" w:after="40"/>
      </w:pPr>
      <w:r>
        <w:rPr>
          <w:rFonts w:ascii="Avenir Light" w:hAnsi="Avenir Light" w:eastAsia="Avenir Light" w:cs="Avenir Light"/>
          <w:b w:val="0"/>
          <w:i w:val="0"/>
          <w:color w:val="0D5F31"/>
          <w:sz w:val="17"/>
        </w:rPr>
        <w:t>MADDELER</w:t>
      </w:r>
    </w:p>
    <w:p>
      <w:pPr>
        <w:pStyle w:val="TocEntry"/>
        <w:spacing w:after="20"/>
      </w:pPr>
      <w:hyperlink w:anchor="madde_49" w:history="1">
        <w:r>
          <w:rPr>
            <w:rFonts w:ascii="Avenir Light" w:hAnsi="Avenir Light" w:eastAsia="Avenir Light" w:cs="Avenir Light"/>
            <w:color w:val="172126"/>
            <w:sz w:val="16"/>
            <w:szCs w:val="16"/>
          </w:rPr>
          <w:t xml:space="preserve">MADDE 49  Kontrol sistemi</w:t>
        </w:r>
      </w:hyperlink>
    </w:p>
    <w:p>
      <w:pPr>
        <w:pStyle w:val="TocEntry"/>
        <w:spacing w:after="20"/>
      </w:pPr>
      <w:hyperlink w:anchor="madde_50" w:history="1">
        <w:r>
          <w:rPr>
            <w:rFonts w:ascii="Avenir Light" w:hAnsi="Avenir Light" w:eastAsia="Avenir Light" w:cs="Avenir Light"/>
            <w:color w:val="172126"/>
            <w:sz w:val="16"/>
            <w:szCs w:val="16"/>
          </w:rPr>
          <w:t xml:space="preserve">MADDE 50  Kalite güvencesi</w:t>
        </w:r>
      </w:hyperlink>
    </w:p>
    <w:p>
      <w:pPr>
        <w:pStyle w:val="TocEntry"/>
        <w:spacing w:after="20"/>
      </w:pPr>
      <w:hyperlink w:anchor="madde_51" w:history="1">
        <w:r>
          <w:rPr>
            <w:rFonts w:ascii="Avenir Light" w:hAnsi="Avenir Light" w:eastAsia="Avenir Light" w:cs="Avenir Light"/>
            <w:color w:val="172126"/>
            <w:sz w:val="16"/>
            <w:szCs w:val="16"/>
          </w:rPr>
          <w:t xml:space="preserve">MADDE 51  Bilgi teknolojilerinin kalite güvencesi</w:t>
        </w:r>
      </w:hyperlink>
    </w:p>
    <w:p>
      <w:pPr>
        <w:pStyle w:val="TocEntry"/>
        <w:spacing w:after="20"/>
      </w:pPr>
      <w:hyperlink w:anchor="madde_52" w:history="1">
        <w:r>
          <w:rPr>
            <w:rFonts w:ascii="Avenir Light" w:hAnsi="Avenir Light" w:eastAsia="Avenir Light" w:cs="Avenir Light"/>
            <w:color w:val="172126"/>
            <w:sz w:val="16"/>
            <w:szCs w:val="16"/>
          </w:rPr>
          <w:t xml:space="preserve">MADDE 52  Görevlerin dağıtılması</w:t>
        </w:r>
      </w:hyperlink>
    </w:p>
    <w:p>
      <w:pPr>
        <w:pStyle w:val="TocEntry"/>
        <w:spacing w:after="20"/>
      </w:pPr>
      <w:hyperlink w:anchor="madde_53" w:history="1">
        <w:r>
          <w:rPr>
            <w:rFonts w:ascii="Avenir Light" w:hAnsi="Avenir Light" w:eastAsia="Avenir Light" w:cs="Avenir Light"/>
            <w:color w:val="172126"/>
            <w:sz w:val="16"/>
            <w:szCs w:val="16"/>
          </w:rPr>
          <w:t xml:space="preserve">MADDE 53  Dâhili incelemeler ve verinin onaylanması</w:t>
        </w:r>
      </w:hyperlink>
    </w:p>
    <w:p>
      <w:pPr>
        <w:pStyle w:val="TocEntry"/>
        <w:spacing w:after="20"/>
      </w:pPr>
      <w:hyperlink w:anchor="madde_54" w:history="1">
        <w:r>
          <w:rPr>
            <w:rFonts w:ascii="Avenir Light" w:hAnsi="Avenir Light" w:eastAsia="Avenir Light" w:cs="Avenir Light"/>
            <w:color w:val="172126"/>
            <w:sz w:val="16"/>
            <w:szCs w:val="16"/>
          </w:rPr>
          <w:t xml:space="preserve">MADDE 54  Düzeltmeler ve düzeltici faaliyetler</w:t>
        </w:r>
      </w:hyperlink>
    </w:p>
    <w:p>
      <w:pPr>
        <w:pStyle w:val="TocEntry"/>
        <w:spacing w:after="20"/>
      </w:pPr>
      <w:hyperlink w:anchor="madde_55" w:history="1">
        <w:r>
          <w:rPr>
            <w:rFonts w:ascii="Avenir Light" w:hAnsi="Avenir Light" w:eastAsia="Avenir Light" w:cs="Avenir Light"/>
            <w:color w:val="172126"/>
            <w:sz w:val="16"/>
            <w:szCs w:val="16"/>
          </w:rPr>
          <w:t xml:space="preserve">MADDE 55  Hizmet alımı ile gerçekleştirilen faaliyetler</w:t>
        </w:r>
      </w:hyperlink>
    </w:p>
    <w:p>
      <w:pPr>
        <w:pStyle w:val="TocEntry"/>
        <w:spacing w:after="20"/>
      </w:pPr>
      <w:hyperlink w:anchor="madde_56" w:history="1">
        <w:r>
          <w:rPr>
            <w:rFonts w:ascii="Avenir Light" w:hAnsi="Avenir Light" w:eastAsia="Avenir Light" w:cs="Avenir Light"/>
            <w:color w:val="172126"/>
            <w:sz w:val="16"/>
            <w:szCs w:val="16"/>
          </w:rPr>
          <w:t xml:space="preserve">MADDE 56  Veri boşluklarının giderilmesi</w:t>
        </w:r>
      </w:hyperlink>
    </w:p>
    <w:p>
      <w:pPr>
        <w:pStyle w:val="TocEntry"/>
        <w:spacing w:after="20"/>
      </w:pPr>
      <w:hyperlink w:anchor="madde_57" w:history="1">
        <w:r>
          <w:rPr>
            <w:rFonts w:ascii="Avenir Light" w:hAnsi="Avenir Light" w:eastAsia="Avenir Light" w:cs="Avenir Light"/>
            <w:color w:val="172126"/>
            <w:sz w:val="16"/>
            <w:szCs w:val="16"/>
          </w:rPr>
          <w:t xml:space="preserve">MADDE 57  Kayıtlar ve belgelendirme</w:t>
        </w:r>
      </w:hyperlink>
    </w:p>
    <w:p>
      <w:pPr>
        <w:pStyle w:val="TocEntry"/>
        <w:spacing w:after="20"/>
      </w:pPr>
      <w:hyperlink w:anchor="madde_58" w:history="1">
        <w:r>
          <w:rPr>
            <w:rFonts w:ascii="Avenir Light" w:hAnsi="Avenir Light" w:eastAsia="Avenir Light" w:cs="Avenir Light"/>
            <w:color w:val="172126"/>
            <w:sz w:val="16"/>
            <w:szCs w:val="16"/>
          </w:rPr>
          <w:t xml:space="preserve">MADDE 58  Raporlama için zamanlama ve zorunluluklar</w:t>
        </w:r>
      </w:hyperlink>
    </w:p>
    <w:p>
      <w:pPr>
        <w:pStyle w:val="TocEntry"/>
        <w:spacing w:after="20"/>
      </w:pPr>
      <w:hyperlink w:anchor="madde_59" w:history="1">
        <w:r>
          <w:rPr>
            <w:rFonts w:ascii="Avenir Light" w:hAnsi="Avenir Light" w:eastAsia="Avenir Light" w:cs="Avenir Light"/>
            <w:color w:val="172126"/>
            <w:sz w:val="16"/>
            <w:szCs w:val="16"/>
          </w:rPr>
          <w:t xml:space="preserve">MADDE 59  İzleme yöntemine ilişkin iyileştirmelerin raporlanması</w:t>
        </w:r>
      </w:hyperlink>
    </w:p>
    <w:p>
      <w:pPr>
        <w:pStyle w:val="TocEntry"/>
        <w:spacing w:after="20"/>
      </w:pPr>
      <w:hyperlink w:anchor="madde_60" w:history="1">
        <w:r>
          <w:rPr>
            <w:rFonts w:ascii="Avenir Light" w:hAnsi="Avenir Light" w:eastAsia="Avenir Light" w:cs="Avenir Light"/>
            <w:color w:val="172126"/>
            <w:sz w:val="16"/>
            <w:szCs w:val="16"/>
          </w:rPr>
          <w:t xml:space="preserve">MADDE 60  Verinin yuvarlanması</w:t>
        </w:r>
      </w:hyperlink>
    </w:p>
    <w:p>
      <w:pPr>
        <w:spacing w:before="120" w:after="40"/>
      </w:pPr>
      <w:r>
        <w:rPr>
          <w:rFonts w:ascii="Avenir Light" w:hAnsi="Avenir Light" w:eastAsia="Avenir Light" w:cs="Avenir Light"/>
          <w:b w:val="0"/>
          <w:i w:val="0"/>
          <w:color w:val="0D5F31"/>
          <w:sz w:val="17"/>
        </w:rPr>
        <w:t>GEÇICI HÜKÜM</w:t>
      </w:r>
    </w:p>
    <w:p>
      <w:pPr>
        <w:pStyle w:val="TocEntry"/>
        <w:spacing w:after="20"/>
      </w:pPr>
      <w:hyperlink w:anchor="gecici_madde_1" w:history="1">
        <w:r>
          <w:rPr>
            <w:rFonts w:ascii="Avenir Light" w:hAnsi="Avenir Light" w:eastAsia="Avenir Light" w:cs="Avenir Light"/>
            <w:color w:val="172126"/>
            <w:sz w:val="16"/>
            <w:szCs w:val="16"/>
          </w:rPr>
          <w:t xml:space="preserve">GEÇİCİ MADDE 1  Geçici hükümler</w:t>
        </w:r>
      </w:hyperlink>
    </w:p>
    <w:p>
      <w:pPr>
        <w:spacing w:before="120" w:after="40"/>
      </w:pPr>
      <w:r>
        <w:rPr>
          <w:rFonts w:ascii="Avenir Light" w:hAnsi="Avenir Light" w:eastAsia="Avenir Light" w:cs="Avenir Light"/>
          <w:b w:val="0"/>
          <w:i w:val="0"/>
          <w:color w:val="0D5F31"/>
          <w:sz w:val="17"/>
        </w:rPr>
        <w:t>MADDELER</w:t>
      </w:r>
    </w:p>
    <w:p>
      <w:pPr>
        <w:pStyle w:val="TocEntry"/>
        <w:spacing w:after="20"/>
      </w:pPr>
      <w:hyperlink w:anchor="madde_61" w:history="1">
        <w:r>
          <w:rPr>
            <w:rFonts w:ascii="Avenir Light" w:hAnsi="Avenir Light" w:eastAsia="Avenir Light" w:cs="Avenir Light"/>
            <w:color w:val="172126"/>
            <w:sz w:val="16"/>
            <w:szCs w:val="16"/>
          </w:rPr>
          <w:t xml:space="preserve">MADDE 61  Yürürlük</w:t>
        </w:r>
      </w:hyperlink>
    </w:p>
    <w:p>
      <w:pPr>
        <w:pStyle w:val="TocEntry"/>
        <w:spacing w:after="20"/>
      </w:pPr>
      <w:hyperlink w:anchor="madde_62" w:history="1">
        <w:r>
          <w:rPr>
            <w:rFonts w:ascii="Avenir Light" w:hAnsi="Avenir Light" w:eastAsia="Avenir Light" w:cs="Avenir Light"/>
            <w:color w:val="172126"/>
            <w:sz w:val="16"/>
            <w:szCs w:val="16"/>
          </w:rPr>
          <w:t xml:space="preserve">MADDE 62  Yürütme</w:t>
        </w:r>
      </w:hyperlink>
    </w:p>
    <w:p>
      <w:pPr>
        <w:spacing w:before="120" w:after="40"/>
      </w:pPr>
      <w:r>
        <w:rPr>
          <w:rFonts w:ascii="Avenir Light" w:hAnsi="Avenir Light" w:eastAsia="Avenir Light" w:cs="Avenir Light"/>
          <w:b w:val="0"/>
          <w:i w:val="0"/>
          <w:color w:val="0D5F31"/>
          <w:sz w:val="17"/>
        </w:rPr>
        <w:t>EKLER</w:t>
      </w:r>
    </w:p>
    <w:p>
      <w:pPr>
        <w:pStyle w:val="TocEntry"/>
        <w:spacing w:after="20"/>
      </w:pPr>
      <w:hyperlink w:anchor="ek_1" w:history="1">
        <w:r>
          <w:rPr>
            <w:rFonts w:ascii="Avenir Light" w:hAnsi="Avenir Light" w:eastAsia="Avenir Light" w:cs="Avenir Light"/>
            <w:color w:val="172126"/>
            <w:sz w:val="16"/>
            <w:szCs w:val="16"/>
          </w:rPr>
          <w:t xml:space="preserve">EK-1  İZLEME PLANININ ASGARİ KAPSAMI</w:t>
        </w:r>
      </w:hyperlink>
    </w:p>
    <w:p>
      <w:pPr>
        <w:pStyle w:val="TocEntry"/>
        <w:spacing w:after="20"/>
      </w:pPr>
      <w:hyperlink w:anchor="ek_2" w:history="1">
        <w:r>
          <w:rPr>
            <w:rFonts w:ascii="Avenir Light" w:hAnsi="Avenir Light" w:eastAsia="Avenir Light" w:cs="Avenir Light"/>
            <w:color w:val="172126"/>
            <w:sz w:val="16"/>
            <w:szCs w:val="16"/>
          </w:rPr>
          <w:t xml:space="preserve">EK-2  TESİSLER İLE İLGİLİ HESAPLAMA TEMELLİ YÖNTEMLER İÇİN KADEME EŞİKLERİ</w:t>
        </w:r>
      </w:hyperlink>
    </w:p>
    <w:p>
      <w:pPr>
        <w:pStyle w:val="TocEntry"/>
        <w:spacing w:after="20"/>
      </w:pPr>
      <w:hyperlink w:anchor="ek_3" w:history="1">
        <w:r>
          <w:rPr>
            <w:rFonts w:ascii="Avenir Light" w:hAnsi="Avenir Light" w:eastAsia="Avenir Light" w:cs="Avenir Light"/>
            <w:color w:val="172126"/>
            <w:sz w:val="16"/>
            <w:szCs w:val="16"/>
          </w:rPr>
          <w:t xml:space="preserve">EK-3  TESİSLER İLE İLGİLİ FAALİYETE ÖZGÜ İZLEME YÖNTEMLERİ</w:t>
        </w:r>
      </w:hyperlink>
    </w:p>
    <w:p>
      <w:pPr>
        <w:pStyle w:val="TocEntry"/>
        <w:spacing w:after="20"/>
      </w:pPr>
      <w:hyperlink w:anchor="ek_4" w:history="1">
        <w:r>
          <w:rPr>
            <w:rFonts w:ascii="Avenir Light" w:hAnsi="Avenir Light" w:eastAsia="Avenir Light" w:cs="Avenir Light"/>
            <w:color w:val="172126"/>
            <w:sz w:val="16"/>
            <w:szCs w:val="16"/>
          </w:rPr>
          <w:t xml:space="preserve">EK-4  KATEGORİ A TESİSLERİNDE HESAPLAMA TEMELLİ YÖNTEMLERE VE KATEGORİ B VE C TESİSLERİ TARAFINDAN KULLANILAN TİCARİ STANDART YAKITLAR İÇİN HESAPLAMA FAKTÖRLERİNE İLİŞKİN</w:t>
        </w:r>
      </w:hyperlink>
    </w:p>
    <w:p>
      <w:pPr>
        <w:pStyle w:val="TocEntry"/>
        <w:spacing w:after="20"/>
      </w:pPr>
      <w:hyperlink w:anchor="ek_5" w:history="1">
        <w:r>
          <w:rPr>
            <w:rFonts w:ascii="Avenir Light" w:hAnsi="Avenir Light" w:eastAsia="Avenir Light" w:cs="Avenir Light"/>
            <w:color w:val="172126"/>
            <w:sz w:val="16"/>
            <w:szCs w:val="16"/>
          </w:rPr>
          <w:t xml:space="preserve">EK-5  HESAPLAMA FAKTÖRLERİ İÇİN REFERANS DEĞERLER</w:t>
        </w:r>
      </w:hyperlink>
    </w:p>
    <w:p>
      <w:pPr>
        <w:pStyle w:val="TocEntry"/>
        <w:spacing w:after="20"/>
      </w:pPr>
      <w:hyperlink w:anchor="ek_6" w:history="1">
        <w:r>
          <w:rPr>
            <w:rFonts w:ascii="Avenir Light" w:hAnsi="Avenir Light" w:eastAsia="Avenir Light" w:cs="Avenir Light"/>
            <w:color w:val="172126"/>
            <w:sz w:val="16"/>
            <w:szCs w:val="16"/>
          </w:rPr>
          <w:t xml:space="preserve">EK-6  ANALİZLERİN ASGARİ FREKANSLARI</w:t>
        </w:r>
      </w:hyperlink>
    </w:p>
    <w:p>
      <w:pPr>
        <w:pStyle w:val="TocEntry"/>
        <w:spacing w:after="20"/>
      </w:pPr>
      <w:hyperlink w:anchor="ek_7" w:history="1">
        <w:r>
          <w:rPr>
            <w:rFonts w:ascii="Avenir Light" w:hAnsi="Avenir Light" w:eastAsia="Avenir Light" w:cs="Avenir Light"/>
            <w:color w:val="172126"/>
            <w:sz w:val="16"/>
            <w:szCs w:val="16"/>
          </w:rPr>
          <w:t xml:space="preserve">EK-7  ÖLÇÜM BAZLI YÖNTEMLER</w:t>
        </w:r>
      </w:hyperlink>
    </w:p>
    <w:p>
      <w:pPr>
        <w:pStyle w:val="TocEntry"/>
        <w:spacing w:after="20"/>
      </w:pPr>
      <w:hyperlink w:anchor="ek_8" w:history="1">
        <w:r>
          <w:rPr>
            <w:rFonts w:ascii="Avenir Light" w:hAnsi="Avenir Light" w:eastAsia="Avenir Light" w:cs="Avenir Light"/>
            <w:color w:val="172126"/>
            <w:sz w:val="16"/>
            <w:szCs w:val="16"/>
          </w:rPr>
          <w:t xml:space="preserve">EK-8  57 NCİ MADDENİN BİRİNCİ FIKRASI UYARINCA SAKLANACAK ASGARİ VERİ VE BİLGİ</w:t>
        </w:r>
      </w:hyperlink>
    </w:p>
    <w:p>
      <w:pPr>
        <w:pStyle w:val="TocEntry"/>
        <w:spacing w:after="20"/>
      </w:pPr>
      <w:hyperlink w:anchor="ek_9" w:history="1">
        <w:r>
          <w:rPr>
            <w:rFonts w:ascii="Avenir Light" w:hAnsi="Avenir Light" w:eastAsia="Avenir Light" w:cs="Avenir Light"/>
            <w:color w:val="172126"/>
            <w:sz w:val="16"/>
            <w:szCs w:val="16"/>
          </w:rPr>
          <w:t xml:space="preserve">EK-9  57 NCİ MADDENİN İKİNCİ FIKRASI UYARINCA YILLIK RAPORLARIN ASGARİ İÇERİĞİ</w:t>
        </w:r>
      </w:hyperlink>
    </w:p>
    <w:p>
      <w:r>
        <w:br w:type="page"/>
      </w:r>
    </w:p>
    <w:p>
      <w:bookmarkStart w:id="9000" w:name="official_text_start"/>
      <w:pPr>
        <w:pStyle w:val="PartLabel"/>
      </w:pPr>
      <w:r>
        <w:rPr>
          <w:rFonts w:ascii="Avenir Light" w:hAnsi="Avenir Light" w:eastAsia="Avenir Light" w:cs="Avenir Light"/>
          <w:b w:val="0"/>
          <w:i w:val="0"/>
          <w:color w:val="0D5F31"/>
          <w:sz w:val="26"/>
        </w:rPr>
        <w:t>TEBLİĞ</w:t>
      </w:r>
    </w:p>
    <w:p>
      <w:pPr>
        <w:pStyle w:val="PartTitle"/>
      </w:pPr>
      <w:r>
        <w:rPr>
          <w:rFonts w:ascii="Avenir Light" w:hAnsi="Avenir Light" w:eastAsia="Avenir Light" w:cs="Avenir Light"/>
          <w:b w:val="0"/>
          <w:i w:val="0"/>
          <w:color w:val="172126"/>
          <w:sz w:val="22"/>
        </w:rPr>
        <w:t>Çevre ve Şehircilik Bakanlığından:</w:t>
      </w:r>
    </w:p>
    <w:p>
      <w:pPr>
        <w:pStyle w:val="OfficialTitle"/>
      </w:pPr>
      <w:r>
        <w:rPr>
          <w:rFonts w:ascii="Avenir Light" w:hAnsi="Avenir Light" w:eastAsia="Avenir Light" w:cs="Avenir Light"/>
          <w:b w:val="0"/>
          <w:i w:val="0"/>
          <w:color w:val="172126"/>
          <w:sz w:val="30"/>
        </w:rPr>
        <w:t>SERA GAZI EMİSYONLARININ İZLENMESİ VE RAPORLANMASI HAKKINDA TEBLİĞ</w:t>
      </w:r>
    </w:p>
    <w:p>
      <w:pPr>
        <w:pStyle w:val="PartLabel"/>
      </w:pPr>
      <w:r>
        <w:rPr>
          <w:rFonts w:ascii="Avenir Light" w:hAnsi="Avenir Light" w:eastAsia="Avenir Light" w:cs="Avenir Light"/>
          <w:b w:val="0"/>
          <w:i w:val="0"/>
          <w:color w:val="0D5F31"/>
          <w:sz w:val="26"/>
        </w:rPr>
        <w:t>BİRİNCİ BÖLÜM</w:t>
      </w:r>
    </w:p>
    <w:p>
      <w:pPr>
        <w:pStyle w:val="PartTitle"/>
      </w:pPr>
      <w:r>
        <w:rPr>
          <w:rFonts w:ascii="Avenir Light" w:hAnsi="Avenir Light" w:eastAsia="Avenir Light" w:cs="Avenir Light"/>
          <w:b w:val="0"/>
          <w:i w:val="0"/>
          <w:color w:val="172126"/>
          <w:sz w:val="22"/>
        </w:rPr>
        <w:t>Amaç, Kapsam, Dayanak ve Tanımlar</w:t>
      </w:r>
    </w:p>
    <w:p>
      <w:pPr>
        <w:pStyle w:val="ArticleTitle"/>
      </w:pPr>
      <w:r>
        <w:rPr>
          <w:rFonts w:ascii="Avenir Light" w:hAnsi="Avenir Light" w:eastAsia="Avenir Light" w:cs="Avenir Light"/>
          <w:b w:val="0"/>
          <w:i w:val="0"/>
          <w:color w:val="0D5F31"/>
          <w:sz w:val="21"/>
        </w:rPr>
        <w:t>Amaç</w:t>
      </w:r>
    </w:p>
    <w:p>
      <w:bookmarkStart w:id="10" w:name="madde_1"/>
      <w:pPr>
        <w:pStyle w:val="ArticleText"/>
      </w:pPr>
      <w:r>
        <w:rPr>
          <w:rFonts w:ascii="Avenir Light" w:hAnsi="Avenir Light" w:eastAsia="Avenir Light" w:cs="Avenir Light"/>
          <w:b w:val="0"/>
          <w:i w:val="0"/>
          <w:color w:val="172126"/>
          <w:sz w:val="19"/>
        </w:rPr>
        <w:t>MADDE 1 – (1) Bu Tebliğin amacı; 17/5/2014 tarihli ve 29003 sayılı Resmî Gazete’de yayımlanan Sera Gazı Emisyonlarının Takibi Hakkında Yönetmelik kapsamında sera gazı emisyonlarının ve ilgili faaliyet verilerinin izlenmesi ve raporlanmasına dair usul ve esasları düzenlemektir.</w:t>
      </w:r>
      <w:bookmarkEnd w:id="10"/>
    </w:p>
    <w:p>
      <w:pPr>
        <w:pStyle w:val="ArticleTitle"/>
      </w:pPr>
      <w:r>
        <w:rPr>
          <w:rFonts w:ascii="Avenir Light" w:hAnsi="Avenir Light" w:eastAsia="Avenir Light" w:cs="Avenir Light"/>
          <w:b w:val="0"/>
          <w:i w:val="0"/>
          <w:color w:val="0D5F31"/>
          <w:sz w:val="21"/>
        </w:rPr>
        <w:t>Kapsam</w:t>
      </w:r>
    </w:p>
    <w:p>
      <w:bookmarkStart w:id="11" w:name="madde_2"/>
      <w:pPr>
        <w:pStyle w:val="ArticleText"/>
      </w:pPr>
      <w:r>
        <w:rPr>
          <w:rFonts w:ascii="Avenir Light" w:hAnsi="Avenir Light" w:eastAsia="Avenir Light" w:cs="Avenir Light"/>
          <w:b w:val="0"/>
          <w:i w:val="0"/>
          <w:color w:val="172126"/>
          <w:sz w:val="19"/>
        </w:rPr>
        <w:t xml:space="preserve">MADDE 2 – (1) Bu Tebliğ; 17/5/2014 tarihli ve 29003 sayılı Resmî Gazete’de yayımlanan Sera Gazı Emisyonlarının Takibi Hakkında Yönetmeliğin </w:t>
      </w:r>
      <w:hyperlink w:anchor="ek_1" w:history="1">
        <w:r>
          <w:rPr>
            <w:rFonts w:ascii="Avenir Light" w:hAnsi="Avenir Light" w:eastAsia="Avenir Light" w:cs="Avenir Light"/>
            <w:color w:val="188A42"/>
            <w:sz w:val="19"/>
            <w:szCs w:val="19"/>
          </w:rPr>
          <w:t xml:space="preserve">ek-1</w:t>
        </w:r>
      </w:hyperlink>
      <w:r>
        <w:rPr>
          <w:rFonts w:ascii="Avenir Light" w:hAnsi="Avenir Light" w:eastAsia="Avenir Light" w:cs="Avenir Light"/>
          <w:b w:val="0"/>
          <w:i w:val="0"/>
          <w:color w:val="172126"/>
          <w:sz w:val="19"/>
        </w:rPr>
        <w:t>’inde yer alan faaliyetlerden kaynaklanan sera gazı emisyonlarının ve ilgili faaliyet verilerinin izlenmesi ve raporlanmasına dair usul ve esasları kapsar.</w:t>
      </w:r>
      <w:bookmarkEnd w:id="11"/>
    </w:p>
    <w:p>
      <w:pPr>
        <w:pStyle w:val="ArticleTitle"/>
      </w:pPr>
      <w:r>
        <w:rPr>
          <w:rFonts w:ascii="Avenir Light" w:hAnsi="Avenir Light" w:eastAsia="Avenir Light" w:cs="Avenir Light"/>
          <w:b w:val="0"/>
          <w:i w:val="0"/>
          <w:color w:val="0D5F31"/>
          <w:sz w:val="21"/>
        </w:rPr>
        <w:t>Dayanak</w:t>
      </w:r>
    </w:p>
    <w:p>
      <w:bookmarkStart w:id="12" w:name="madde_3"/>
      <w:pPr>
        <w:pStyle w:val="ArticleText"/>
      </w:pPr>
      <w:r>
        <w:rPr>
          <w:rFonts w:ascii="Avenir Light" w:hAnsi="Avenir Light" w:eastAsia="Avenir Light" w:cs="Avenir Light"/>
          <w:b w:val="0"/>
          <w:i w:val="0"/>
          <w:color w:val="172126"/>
          <w:sz w:val="19"/>
        </w:rPr>
        <w:t xml:space="preserve">MADDE 3 – (1) Bu Tebliğ, 29/6/2011 tarihli ve 644 sayılı Çevre ve Şehircilik Bakanlığının Teşkilat ve Görevleri Hakkında Kanun Hükmünde Kararnamenin </w:t>
      </w:r>
      <w:hyperlink w:anchor="madde_2" w:history="1">
        <w:r>
          <w:rPr>
            <w:rFonts w:ascii="Avenir Light" w:hAnsi="Avenir Light" w:eastAsia="Avenir Light" w:cs="Avenir Light"/>
            <w:color w:val="188A42"/>
            <w:sz w:val="19"/>
            <w:szCs w:val="19"/>
          </w:rPr>
          <w:t xml:space="preserve">2 nci madde</w:t>
        </w:r>
      </w:hyperlink>
      <w:r>
        <w:rPr>
          <w:rFonts w:ascii="Avenir Light" w:hAnsi="Avenir Light" w:eastAsia="Avenir Light" w:cs="Avenir Light"/>
          <w:b w:val="0"/>
          <w:i w:val="0"/>
          <w:color w:val="172126"/>
          <w:sz w:val="19"/>
        </w:rPr>
        <w:t>si ile 17/5/2014 tarihli ve 29003 sayılı Resmî Gazete’de yayımlanan Sera Gazı Emisyonlarının Takibi Hakkında Yönetmeliğe dayanılarak hazırlanmıştır.</w:t>
      </w:r>
      <w:bookmarkEnd w:id="12"/>
    </w:p>
    <w:p>
      <w:pPr>
        <w:pStyle w:val="ArticleTitle"/>
      </w:pPr>
      <w:r>
        <w:rPr>
          <w:rFonts w:ascii="Avenir Light" w:hAnsi="Avenir Light" w:eastAsia="Avenir Light" w:cs="Avenir Light"/>
          <w:b w:val="0"/>
          <w:i w:val="0"/>
          <w:color w:val="0D5F31"/>
          <w:sz w:val="21"/>
        </w:rPr>
        <w:t>Tanımlar ve kısaltmalar</w:t>
      </w:r>
    </w:p>
    <w:p>
      <w:bookmarkStart w:id="13" w:name="madde_4"/>
      <w:pPr>
        <w:pStyle w:val="ArticleText"/>
      </w:pPr>
      <w:r>
        <w:rPr>
          <w:rFonts w:ascii="Avenir Light" w:hAnsi="Avenir Light" w:eastAsia="Avenir Light" w:cs="Avenir Light"/>
          <w:b w:val="0"/>
          <w:i w:val="0"/>
          <w:color w:val="172126"/>
          <w:sz w:val="19"/>
        </w:rPr>
        <w:t>MADDE 4 – (1) Bu Tebliğde geçen;</w:t>
      </w:r>
      <w:bookmarkEnd w:id="13"/>
    </w:p>
    <w:p>
      <w:pPr>
        <w:pStyle w:val="LegalList"/>
      </w:pPr>
      <w:r>
        <w:rPr>
          <w:rFonts w:ascii="Avenir Light" w:hAnsi="Avenir Light" w:eastAsia="Avenir Light" w:cs="Avenir Light"/>
          <w:b w:val="0"/>
          <w:i w:val="0"/>
          <w:color w:val="172126"/>
          <w:sz w:val="19"/>
        </w:rPr>
        <w:t>a) (Değişik:RG-5/2/2021-31386) Azami izin verilebilir hata: Sanayi ve Teknoloji Bakanlığınca yayımlanmış olan yasal metrolojik kontrole ilişkin ulusal mevzuatta belirtilen izin verilen ölçüm hatasını,</w:t>
      </w:r>
    </w:p>
    <w:p>
      <w:pPr>
        <w:pStyle w:val="LegalList"/>
      </w:pPr>
      <w:r>
        <w:rPr>
          <w:rFonts w:ascii="Avenir Light" w:hAnsi="Avenir Light" w:eastAsia="Avenir Light" w:cs="Avenir Light"/>
          <w:b w:val="0"/>
          <w:i w:val="0"/>
          <w:color w:val="172126"/>
          <w:sz w:val="19"/>
        </w:rPr>
        <w:t>b) Bakanlık: Çevre ve Şehircilik Bakanlığını,</w:t>
      </w:r>
    </w:p>
    <w:p>
      <w:pPr>
        <w:pStyle w:val="LegalList"/>
      </w:pPr>
      <w:r>
        <w:rPr>
          <w:rFonts w:ascii="Avenir Light" w:hAnsi="Avenir Light" w:eastAsia="Avenir Light" w:cs="Avenir Light"/>
          <w:b w:val="0"/>
          <w:i w:val="0"/>
          <w:color w:val="172126"/>
          <w:sz w:val="19"/>
        </w:rPr>
        <w:t>c) (Değişik:RG-5/2/2021-31386) Belirsizlik: Yüzde olarak ifade edilen, sistematik ve rastgele faktörlerin etkilerini de içerecek şekilde, değerlerin dağılımındaki olası bir asimetriyi dikkate alarak ve elde edilen değerlerin %95’ini kapsayan ortalama değerin çevresindeki güven aralığını tanımlayan, belirli bir miktara makul ölçüde atfedilebilecek değerlerin dağılımını karakterize eden büyüklük tayininin sonuçları ile ilişkili parametreyi,</w:t>
      </w:r>
    </w:p>
    <w:p>
      <w:pPr>
        <w:pStyle w:val="LegalList"/>
      </w:pPr>
      <w:r>
        <w:rPr>
          <w:rFonts w:ascii="Avenir Light" w:hAnsi="Avenir Light" w:eastAsia="Avenir Light" w:cs="Avenir Light"/>
          <w:b w:val="0"/>
          <w:i w:val="0"/>
          <w:color w:val="172126"/>
          <w:sz w:val="19"/>
        </w:rPr>
        <w:t>ç) (Değişik:RG-5/2/2021-31386) Biyokütle: Tarım, ormancılık, balıkçılık ve su ürünleri yetiştiriciliği dahil olmak üzere ilgili işletmelerden kaynaklanan biyolojik kökenli ürünler, atıklar ve kalıntıların biyolojik olarak ayrışabilen bölümlerini (bitkisel ve hayvani maddeler dahil), sanayi ve belediye atıklarının biyolojik olarak ayrışabilen kısımlarını ve biyosıvıları ve biyoyakıtları,</w:t>
      </w:r>
    </w:p>
    <w:p>
      <w:pPr>
        <w:pStyle w:val="LegalList"/>
      </w:pPr>
      <w:r>
        <w:rPr>
          <w:rFonts w:ascii="Avenir Light" w:hAnsi="Avenir Light" w:eastAsia="Avenir Light" w:cs="Avenir Light"/>
          <w:b w:val="0"/>
          <w:i w:val="0"/>
          <w:color w:val="172126"/>
          <w:sz w:val="19"/>
        </w:rPr>
        <w:t>d) Biyokütle oranı: Bir yakıt veya malzemenin biyokütle kaynaklı karbon içeriğinin toplam karbon içeriğine oranını,</w:t>
      </w:r>
    </w:p>
    <w:p>
      <w:pPr>
        <w:pStyle w:val="LegalList"/>
      </w:pPr>
      <w:r>
        <w:rPr>
          <w:rFonts w:ascii="Avenir Light" w:hAnsi="Avenir Light" w:eastAsia="Avenir Light" w:cs="Avenir Light"/>
          <w:b w:val="0"/>
          <w:i w:val="0"/>
          <w:color w:val="172126"/>
          <w:sz w:val="19"/>
        </w:rPr>
        <w:t xml:space="preserve">e) (Değişik:RG-5/2/2021-31386) CO 2 (eşd): Yönetmeliğin </w:t>
      </w:r>
      <w:hyperlink w:anchor="ek_2" w:history="1">
        <w:r>
          <w:rPr>
            <w:rFonts w:ascii="Avenir Light" w:hAnsi="Avenir Light" w:eastAsia="Avenir Light" w:cs="Avenir Light"/>
            <w:color w:val="188A42"/>
            <w:sz w:val="19"/>
            <w:szCs w:val="19"/>
          </w:rPr>
          <w:t xml:space="preserve">EK-2</w:t>
        </w:r>
      </w:hyperlink>
      <w:r>
        <w:rPr>
          <w:rFonts w:ascii="Avenir Light" w:hAnsi="Avenir Light" w:eastAsia="Avenir Light" w:cs="Avenir Light"/>
          <w:b w:val="0"/>
          <w:i w:val="0"/>
          <w:color w:val="172126"/>
          <w:sz w:val="19"/>
        </w:rPr>
        <w:t>’sinde listelenen CO 2 dışındaki sera gazının CO 2 ’nin küresel ısınma potansiyeli üzerinden eşdeğer olarak ifade edilen değeri,</w:t>
      </w:r>
    </w:p>
    <w:p>
      <w:pPr>
        <w:pStyle w:val="LegalList"/>
      </w:pPr>
      <w:r>
        <w:rPr>
          <w:rFonts w:ascii="Avenir Light" w:hAnsi="Avenir Light" w:eastAsia="Avenir Light" w:cs="Avenir Light"/>
          <w:b w:val="0"/>
          <w:i w:val="0"/>
          <w:color w:val="172126"/>
          <w:sz w:val="19"/>
        </w:rPr>
        <w:t>f) (Değişik:RG-5/2/2021-31386) Dâhili CO 2 : Bir kaynak akışının parçası olan CO 2 ’yi,</w:t>
      </w:r>
    </w:p>
    <w:p>
      <w:pPr>
        <w:pStyle w:val="LegalList"/>
      </w:pPr>
      <w:r>
        <w:rPr>
          <w:rFonts w:ascii="Avenir Light" w:hAnsi="Avenir Light" w:eastAsia="Avenir Light" w:cs="Avenir Light"/>
          <w:b w:val="0"/>
          <w:i w:val="0"/>
          <w:color w:val="172126"/>
          <w:sz w:val="19"/>
        </w:rPr>
        <w:t>g) (Değişik:RG-5/2/2021-31386) Dahili risk: Yıllık emisyon raporundaki bir parametrenin, herhangi bir kontrol faaliyetinin etkisi dikkate alınmadan önce, tek başına veya diğer yanlış bildirimlerle bir arada oluşabilecek önemli hatalara duyarlılığını,</w:t>
      </w:r>
    </w:p>
    <w:p>
      <w:pPr>
        <w:pStyle w:val="LegalList"/>
      </w:pPr>
      <w:r>
        <w:rPr>
          <w:rFonts w:ascii="Avenir Light" w:hAnsi="Avenir Light" w:eastAsia="Avenir Light" w:cs="Avenir Light"/>
          <w:b w:val="0"/>
          <w:i w:val="0"/>
          <w:color w:val="172126"/>
          <w:sz w:val="19"/>
        </w:rPr>
        <w:t>ğ) (Değişik:RG-5/2/2021-31386) Doğrulama: İşletmeci tarafından hazırlanan sera gazı emisyon raporunun, 2/12/2017 tarihli ve 30258 sayılı Resmî Gazete’de yayımlanan Sera Gazı Emisyon Raporlarının Doğrulanması ve Doğrulayıcı Kuruluşların Akreditasyonu Tebliği kapsamında doğrulanması amacıyla belirlenen ilkeler çerçevesinde, doğrulayıcı kuruluş tarafından yapılan tüm iş ve işlemleri,</w:t>
      </w:r>
    </w:p>
    <w:p>
      <w:pPr>
        <w:pStyle w:val="LegalList"/>
      </w:pPr>
      <w:r>
        <w:rPr>
          <w:rFonts w:ascii="Avenir Light" w:hAnsi="Avenir Light" w:eastAsia="Avenir Light" w:cs="Avenir Light"/>
          <w:b w:val="0"/>
          <w:i w:val="0"/>
          <w:color w:val="172126"/>
          <w:sz w:val="19"/>
        </w:rPr>
        <w:t>h) (Değişik:RG-5/2/2021-31386) Doğrulayıcı kuruluş: Doğrulama işleminin tüm aşamalarını yürütmek üzere akredite edilmiş kurum veya kuruluşu,</w:t>
      </w:r>
    </w:p>
    <w:p>
      <w:pPr>
        <w:pStyle w:val="LegalList"/>
      </w:pPr>
      <w:r>
        <w:rPr>
          <w:rFonts w:ascii="Avenir Light" w:hAnsi="Avenir Light" w:eastAsia="Avenir Light" w:cs="Avenir Light"/>
          <w:b w:val="0"/>
          <w:i w:val="0"/>
          <w:color w:val="172126"/>
          <w:sz w:val="19"/>
        </w:rPr>
        <w:t>ı) (Değişik:RG-5/2/2021-31386) Doğruluk: Ölçüm sonuçları ile belli bir miktarın gerçek değeri veya uluslararası kabul edilmiş ve izlenebilir kalibrasyon malzemeleri ve metotları ile belirlenen, rastgele ve sistematik faktörlerin dikkate alındığı referans değer arasındaki yakınlığı,</w:t>
      </w:r>
    </w:p>
    <w:p>
      <w:pPr>
        <w:pStyle w:val="LegalList"/>
      </w:pPr>
      <w:r>
        <w:rPr>
          <w:rFonts w:ascii="Avenir Light" w:hAnsi="Avenir Light" w:eastAsia="Avenir Light" w:cs="Avenir Light"/>
          <w:b w:val="0"/>
          <w:i w:val="0"/>
          <w:color w:val="172126"/>
          <w:sz w:val="19"/>
        </w:rPr>
        <w:t>i) (Değişik:RG-5/2/2021-31386) Dönüşüm faktörü: Atmosfere CO 2 olarak salınan karbonun, emisyon gerçekleşmeden önce kaynak akışında bulunan toplam karbona oranını (kaynak akışından atmosfere salınan CO, CO 2 ’nin molar eşdeğeri olarak alınır),</w:t>
      </w:r>
    </w:p>
    <w:p>
      <w:pPr>
        <w:pStyle w:val="LegalList"/>
      </w:pPr>
      <w:r>
        <w:rPr>
          <w:rFonts w:ascii="Avenir Light" w:hAnsi="Avenir Light" w:eastAsia="Avenir Light" w:cs="Avenir Light"/>
          <w:b w:val="0"/>
          <w:i w:val="0"/>
          <w:color w:val="172126"/>
          <w:sz w:val="19"/>
        </w:rPr>
        <w:t>j) Emisyon faktörü: Tam yanmanın ve diğer tüm kimyasal reaksiyonların tamamlandığının varsayıldığı bir kaynak akışındaki faaliyet verisine ait sera gazının ortalama emisyon oranını,</w:t>
      </w:r>
    </w:p>
    <w:p>
      <w:pPr>
        <w:pStyle w:val="LegalList"/>
      </w:pPr>
      <w:r>
        <w:rPr>
          <w:rFonts w:ascii="Avenir Light" w:hAnsi="Avenir Light" w:eastAsia="Avenir Light" w:cs="Avenir Light"/>
          <w:b w:val="0"/>
          <w:i w:val="0"/>
          <w:color w:val="172126"/>
          <w:sz w:val="19"/>
        </w:rPr>
        <w:t>k) Emisyon kaynağı: Sera gazı emisyonlarının çıktığı, bir tesisin ayrı olarak tanımlanabilir parçasını veya tesisin bir prosesini,</w:t>
      </w:r>
    </w:p>
    <w:p>
      <w:pPr>
        <w:pStyle w:val="LegalList"/>
      </w:pPr>
      <w:r>
        <w:rPr>
          <w:rFonts w:ascii="Avenir Light" w:hAnsi="Avenir Light" w:eastAsia="Avenir Light" w:cs="Avenir Light"/>
          <w:b w:val="0"/>
          <w:i w:val="0"/>
          <w:color w:val="172126"/>
          <w:sz w:val="19"/>
        </w:rPr>
        <w:t>l) Enerji dengesi yöntemi: Yakıtın yararlanılan ısı enerjisi ile ışıma, iletim ve baca gazı yoluyla kaybolan ısı enerjilerinin toplamıyla hesaplanan, kazanda yakıt olarak kullanılan enerjinin miktarını öngörmek için kullanılan yöntemi,</w:t>
      </w:r>
    </w:p>
    <w:p>
      <w:pPr>
        <w:pStyle w:val="LegalList"/>
      </w:pPr>
      <w:r>
        <w:rPr>
          <w:rFonts w:ascii="Avenir Light" w:hAnsi="Avenir Light" w:eastAsia="Avenir Light" w:cs="Avenir Light"/>
          <w:b w:val="0"/>
          <w:i w:val="0"/>
          <w:color w:val="172126"/>
          <w:sz w:val="19"/>
        </w:rPr>
        <w:t>m) Faaliyet verisi: Hesaplama temelli yöntemler kapsamında, terajul cinsinden enerji, ton cinsinden kütle veya gazlar için normal metre küp cinsinden hacim şeklinde ifade edilen, bir proses tarafından tüketilen veya üretilen yakıt veya maddelere ilişkin veriyi,</w:t>
      </w:r>
    </w:p>
    <w:p>
      <w:pPr>
        <w:pStyle w:val="LegalList"/>
      </w:pPr>
      <w:r>
        <w:rPr>
          <w:rFonts w:ascii="Avenir Light" w:hAnsi="Avenir Light" w:eastAsia="Avenir Light" w:cs="Avenir Light"/>
          <w:b w:val="0"/>
          <w:i w:val="0"/>
          <w:color w:val="172126"/>
          <w:sz w:val="19"/>
        </w:rPr>
        <w:t>n) Fosil karbon: Biyokütle olmayan inorganik ve organik karbonu,</w:t>
      </w:r>
    </w:p>
    <w:p>
      <w:pPr>
        <w:pStyle w:val="LegalList"/>
      </w:pPr>
      <w:r>
        <w:rPr>
          <w:rFonts w:ascii="Avenir Light" w:hAnsi="Avenir Light" w:eastAsia="Avenir Light" w:cs="Avenir Light"/>
          <w:b w:val="0"/>
          <w:i w:val="0"/>
          <w:color w:val="172126"/>
          <w:sz w:val="19"/>
        </w:rPr>
        <w:t>o) Fosil karbon oranı: Bir yakıt veya malzemenin fosil karbon içeriğinin toplam karbon içeriğine kesirli olarak ifade edilen oranını,</w:t>
      </w:r>
    </w:p>
    <w:p>
      <w:pPr>
        <w:pStyle w:val="LegalList"/>
      </w:pPr>
      <w:r>
        <w:rPr>
          <w:rFonts w:ascii="Avenir Light" w:hAnsi="Avenir Light" w:eastAsia="Avenir Light" w:cs="Avenir Light"/>
          <w:b w:val="0"/>
          <w:i w:val="0"/>
          <w:color w:val="172126"/>
          <w:sz w:val="19"/>
        </w:rPr>
        <w:t>ö) Hesaplama faktörleri: Net kalorifik değeri, emisyon faktörünü, ön emisyon faktörünü, yükseltgenme faktörünü, dönüştürme faktörünü, karbon içeriğini veya biyokütle oranını,</w:t>
      </w:r>
    </w:p>
    <w:p>
      <w:pPr>
        <w:pStyle w:val="LegalList"/>
      </w:pPr>
      <w:r>
        <w:rPr>
          <w:rFonts w:ascii="Avenir Light" w:hAnsi="Avenir Light" w:eastAsia="Avenir Light" w:cs="Avenir Light"/>
          <w:b w:val="0"/>
          <w:i w:val="0"/>
          <w:color w:val="172126"/>
          <w:sz w:val="19"/>
        </w:rPr>
        <w:t>p) (Değişik:RG-5/2/2021-31386) İkame veri: İşletmenin, uygulanabilir izleme yönteminde gerekli faaliyet verisini veya hesaplama faktörlerini üretmek mümkün olmadığı durumlarda raporlamanın eksiksiz yapılabilmesi amacı ile faaliyet verisinin veya hesaplama faktörlerinin yerine kullandığı, kabul edilmiş kaynaklardan elde edilmiş veya deneysel olarak doğrulanmış verileri,</w:t>
      </w:r>
    </w:p>
    <w:p>
      <w:pPr>
        <w:pStyle w:val="LegalList"/>
      </w:pPr>
      <w:r>
        <w:rPr>
          <w:rFonts w:ascii="Avenir Light" w:hAnsi="Avenir Light" w:eastAsia="Avenir Light" w:cs="Avenir Light"/>
          <w:b w:val="0"/>
          <w:i w:val="0"/>
          <w:color w:val="172126"/>
          <w:sz w:val="19"/>
        </w:rPr>
        <w:t xml:space="preserve">r) İşletme: Yönetmeliğin </w:t>
      </w:r>
      <w:hyperlink w:anchor="ek_1" w:history="1">
        <w:r>
          <w:rPr>
            <w:rFonts w:ascii="Avenir Light" w:hAnsi="Avenir Light" w:eastAsia="Avenir Light" w:cs="Avenir Light"/>
            <w:color w:val="188A42"/>
            <w:sz w:val="19"/>
            <w:szCs w:val="19"/>
          </w:rPr>
          <w:t xml:space="preserve">ek-1</w:t>
        </w:r>
      </w:hyperlink>
      <w:r>
        <w:rPr>
          <w:rFonts w:ascii="Avenir Light" w:hAnsi="Avenir Light" w:eastAsia="Avenir Light" w:cs="Avenir Light"/>
          <w:b w:val="0"/>
          <w:i w:val="0"/>
          <w:color w:val="172126"/>
          <w:sz w:val="19"/>
        </w:rPr>
        <w:t>’inde yer alan tesis ve faaliyetlerin bütününü,</w:t>
      </w:r>
    </w:p>
    <w:p>
      <w:pPr>
        <w:pStyle w:val="LegalList"/>
      </w:pPr>
      <w:r>
        <w:rPr>
          <w:rFonts w:ascii="Avenir Light" w:hAnsi="Avenir Light" w:eastAsia="Avenir Light" w:cs="Avenir Light"/>
          <w:b w:val="0"/>
          <w:i w:val="0"/>
          <w:color w:val="172126"/>
          <w:sz w:val="19"/>
        </w:rPr>
        <w:t>s) Kaçak emisyonlar: Belirlenmiş bir emisyon noktası olmayan veya münferit olarak izlenemeyecek kadar çok çeşitli veya çok küçük kaynaklardan çıkan, düzensiz veya amaçlanmayan emisyonları,</w:t>
      </w:r>
    </w:p>
    <w:p>
      <w:pPr>
        <w:pStyle w:val="LegalList"/>
      </w:pPr>
      <w:r>
        <w:rPr>
          <w:rFonts w:ascii="Avenir Light" w:hAnsi="Avenir Light" w:eastAsia="Avenir Light" w:cs="Avenir Light"/>
          <w:b w:val="0"/>
          <w:i w:val="0"/>
          <w:color w:val="172126"/>
          <w:sz w:val="19"/>
        </w:rPr>
        <w:t>ş) Kademe: Faaliyet verilerinin, hesaplama faktörlerinin, yıllık emisyonların ve yıllık ortalama saatlik emisyonların belirlemesine yönelik koşulları,</w:t>
      </w:r>
    </w:p>
    <w:p>
      <w:pPr>
        <w:pStyle w:val="LegalList"/>
      </w:pPr>
      <w:r>
        <w:rPr>
          <w:rFonts w:ascii="Avenir Light" w:hAnsi="Avenir Light" w:eastAsia="Avenir Light" w:cs="Avenir Light"/>
          <w:b w:val="0"/>
          <w:i w:val="0"/>
          <w:color w:val="172126"/>
          <w:sz w:val="19"/>
        </w:rPr>
        <w:t>t) Kalibrasyon: Belirtilen koşullar altında, bir ölçüm cihazı veya ölçüm sistemi tarafından gösterilen değerler veya bir malzeme ölçüsü ile temsil edilen değerler veya bir referans malzeme ile bir referans standartla gerçekleştirilen bir niceliğin tekabül eden değerleri arasındaki ilişkileri ortaya koyan işlemleri,</w:t>
      </w:r>
    </w:p>
    <w:p>
      <w:pPr>
        <w:pStyle w:val="LegalList"/>
      </w:pPr>
      <w:r>
        <w:rPr>
          <w:rFonts w:ascii="Avenir Light" w:hAnsi="Avenir Light" w:eastAsia="Avenir Light" w:cs="Avenir Light"/>
          <w:b w:val="0"/>
          <w:i w:val="0"/>
          <w:color w:val="172126"/>
          <w:sz w:val="19"/>
        </w:rPr>
        <w:t>u) Karışık malzeme: Hem biyokütle hem de fosil karbon içeren malzemeyi,</w:t>
      </w:r>
    </w:p>
    <w:p>
      <w:pPr>
        <w:pStyle w:val="LegalList"/>
      </w:pPr>
      <w:r>
        <w:rPr>
          <w:rFonts w:ascii="Avenir Light" w:hAnsi="Avenir Light" w:eastAsia="Avenir Light" w:cs="Avenir Light"/>
          <w:b w:val="0"/>
          <w:i w:val="0"/>
          <w:color w:val="172126"/>
          <w:sz w:val="19"/>
        </w:rPr>
        <w:t>ü) Karışık yakıt: Hem biyokütle hem de fosil karbon içeren yakıtı,</w:t>
      </w:r>
    </w:p>
    <w:p>
      <w:pPr>
        <w:pStyle w:val="LegalList"/>
      </w:pPr>
      <w:r>
        <w:rPr>
          <w:rFonts w:ascii="Avenir Light" w:hAnsi="Avenir Light" w:eastAsia="Avenir Light" w:cs="Avenir Light"/>
          <w:b w:val="0"/>
          <w:i w:val="0"/>
          <w:color w:val="172126"/>
          <w:sz w:val="19"/>
        </w:rPr>
        <w:t>v) Kaynak akışı: Tüketimi veya üretimi sonucunda bir veya daha fazla emisyon kaynağında sera gazı emisyonlarına sebep olan veya karbon içeren ve kütle dengesi yöntemi ile sera gazı emisyon hesaplarında kullanılan belli bir tür yakıtı, ham maddeyi veya ürünü,</w:t>
      </w:r>
    </w:p>
    <w:p>
      <w:pPr>
        <w:pStyle w:val="LegalList"/>
      </w:pPr>
      <w:r>
        <w:rPr>
          <w:rFonts w:ascii="Avenir Light" w:hAnsi="Avenir Light" w:eastAsia="Avenir Light" w:cs="Avenir Light"/>
          <w:b w:val="0"/>
          <w:i w:val="0"/>
          <w:color w:val="172126"/>
          <w:sz w:val="19"/>
        </w:rPr>
        <w:t>y) (Değişik:RG-5/2/2021-31386) Kontrol riski: Sera gazı emisyon raporundaki bir parametrenin, kontrol sistemi tarafından belirli bir zamanda önlenmemiş veya tespit edilerek düzeltilmemiş, tek başına veya diğer hatalı bildirimlerle bir arada önemli hatalı bildirim oluşturmaya yatkınlığı,</w:t>
      </w:r>
    </w:p>
    <w:p>
      <w:pPr>
        <w:pStyle w:val="LegalList"/>
      </w:pPr>
      <w:r>
        <w:rPr>
          <w:rFonts w:ascii="Avenir Light" w:hAnsi="Avenir Light" w:eastAsia="Avenir Light" w:cs="Avenir Light"/>
          <w:b w:val="0"/>
          <w:i w:val="0"/>
          <w:color w:val="172126"/>
          <w:sz w:val="19"/>
        </w:rPr>
        <w:t>z) (Değişik:RG-5/2/2021-31386) Lot: Temsil edilebilir şekilde örneklenmiş ve karakterize edilmiş ve tek seferde veya belirli bir zaman diliminde sürekli olarak nakledilen yakıt ve malzeme miktarını,</w:t>
      </w:r>
    </w:p>
    <w:p>
      <w:pPr>
        <w:pStyle w:val="LegalList"/>
      </w:pPr>
      <w:r>
        <w:rPr>
          <w:rFonts w:ascii="Avenir Light" w:hAnsi="Avenir Light" w:eastAsia="Avenir Light" w:cs="Avenir Light"/>
          <w:b w:val="0"/>
          <w:i w:val="0"/>
          <w:color w:val="172126"/>
          <w:sz w:val="19"/>
        </w:rPr>
        <w:t>aa) (Değişik:RG-5/2/2021-31386) Net kalorifik değer (NKD): Bir yakıt veya malzemenin standart koşullar altında oksijen ile tam yanması sonucunda, oluşan suyun buharlaşma ısısı hariç tutularak, ısı olarak açığa çıkan net enerji miktarını,</w:t>
      </w:r>
    </w:p>
    <w:p>
      <w:pPr>
        <w:pStyle w:val="LegalList"/>
      </w:pPr>
      <w:r>
        <w:rPr>
          <w:rFonts w:ascii="Avenir Light" w:hAnsi="Avenir Light" w:eastAsia="Avenir Light" w:cs="Avenir Light"/>
          <w:b w:val="0"/>
          <w:i w:val="0"/>
          <w:color w:val="172126"/>
          <w:sz w:val="19"/>
        </w:rPr>
        <w:t>bb) Ölçüm noktası: Sürekli emisyon ölçüm sistemlerinin (SEÖS) emisyon ölçmek için kullanıldığı emisyon kaynağı veya (Değişik ibare:RG-5/2/2021-31386) CO 2 akışının sürekli ölçüm sistemleri kullanılarak belirlendiği bir boru hattı sisteminin kesitini,</w:t>
      </w:r>
    </w:p>
    <w:p>
      <w:pPr>
        <w:pStyle w:val="LegalList"/>
      </w:pPr>
      <w:r>
        <w:rPr>
          <w:rFonts w:ascii="Avenir Light" w:hAnsi="Avenir Light" w:eastAsia="Avenir Light" w:cs="Avenir Light"/>
          <w:b w:val="0"/>
          <w:i w:val="0"/>
          <w:color w:val="172126"/>
          <w:sz w:val="19"/>
        </w:rPr>
        <w:t>cc) (Değişik:RG-5/2/2021-31386) Ölçüm sistemi: Faaliyet verisi, karbon içeriği, kalorifik değer veya sera gazı emisyonlarının emisyon faktörü gibi değişkenlerin belirlenmesi için kullanılan, ölçüm aletlerinin ve diğer ekipmanların (örnekleme ve veri işleme ekipmanı gibi) bütününü,</w:t>
      </w:r>
    </w:p>
    <w:p>
      <w:pPr>
        <w:pStyle w:val="LegalList"/>
      </w:pPr>
      <w:r>
        <w:rPr>
          <w:rFonts w:ascii="Avenir Light" w:hAnsi="Avenir Light" w:eastAsia="Avenir Light" w:cs="Avenir Light"/>
          <w:b w:val="0"/>
          <w:i w:val="0"/>
          <w:color w:val="172126"/>
          <w:sz w:val="19"/>
        </w:rPr>
        <w:t>çç) (Değişik:RG-5/2/2021-31386) Ön emisyon faktörü: Emisyon faktörünü elde etmek için fosil karbon oranı ile çarpılmadan önce, bir yakıt veya malzemenin, biyokütle oranının ve fosil karbon oranının karbon içeriğine dayalı varsayılan toplam emisyon faktörünü,</w:t>
      </w:r>
    </w:p>
    <w:p>
      <w:pPr>
        <w:pStyle w:val="LegalList"/>
      </w:pPr>
      <w:r>
        <w:rPr>
          <w:rFonts w:ascii="Avenir Light" w:hAnsi="Avenir Light" w:eastAsia="Avenir Light" w:cs="Avenir Light"/>
          <w:b w:val="0"/>
          <w:i w:val="0"/>
          <w:color w:val="172126"/>
          <w:sz w:val="19"/>
        </w:rPr>
        <w:t>dd) Proses emisyonları: Maden cevherlerinin kimyasal veya elektrolitik indirgenmesi, maddelerin ısıl ayrışması, ürün veya hammadde olarak kullanmak için maddelerin oluşumu da dâhil olmak üzere, maddeler arasındaki reaksiyonlar veya maddelerin dönüşümleri sonucunda oluşan, yanma emisyonları haricindeki sera gazı emisyonlarını,</w:t>
      </w:r>
    </w:p>
    <w:p>
      <w:pPr>
        <w:pStyle w:val="LegalList"/>
      </w:pPr>
      <w:r>
        <w:rPr>
          <w:rFonts w:ascii="Avenir Light" w:hAnsi="Avenir Light" w:eastAsia="Avenir Light" w:cs="Avenir Light"/>
          <w:b w:val="0"/>
          <w:i w:val="0"/>
          <w:color w:val="172126"/>
          <w:sz w:val="19"/>
        </w:rPr>
        <w:t>ee) Raporlama dönemi: Emisyonların izlenmesi ve raporlanması gereken bir takvim yılını,</w:t>
      </w:r>
    </w:p>
    <w:p>
      <w:pPr>
        <w:pStyle w:val="LegalList"/>
      </w:pPr>
      <w:r>
        <w:rPr>
          <w:rFonts w:ascii="Avenir Light" w:hAnsi="Avenir Light" w:eastAsia="Avenir Light" w:cs="Avenir Light"/>
          <w:b w:val="0"/>
          <w:i w:val="0"/>
          <w:color w:val="172126"/>
          <w:sz w:val="19"/>
        </w:rPr>
        <w:t xml:space="preserve">ff) (Değişik:RG-5/2/2021-31386) Sera gazı emisyonu: Kızıl ötesi radyasyon emen ve yeniden salan, hem tabii ve hem de beşeri kaynaklı olabilen ve bu Tebliğin </w:t>
      </w:r>
      <w:hyperlink w:anchor="ek_2" w:history="1">
        <w:r>
          <w:rPr>
            <w:rFonts w:ascii="Avenir Light" w:hAnsi="Avenir Light" w:eastAsia="Avenir Light" w:cs="Avenir Light"/>
            <w:color w:val="188A42"/>
            <w:sz w:val="19"/>
            <w:szCs w:val="19"/>
          </w:rPr>
          <w:t xml:space="preserve">EK-2</w:t>
        </w:r>
      </w:hyperlink>
      <w:r>
        <w:rPr>
          <w:rFonts w:ascii="Avenir Light" w:hAnsi="Avenir Light" w:eastAsia="Avenir Light" w:cs="Avenir Light"/>
          <w:b w:val="0"/>
          <w:i w:val="0"/>
          <w:color w:val="172126"/>
          <w:sz w:val="19"/>
        </w:rPr>
        <w:t>’sindeki listede belirtilen gazları ve gaz benzeri diğer atmosfer bileşenlerinin atmosefere verilmesini,</w:t>
      </w:r>
    </w:p>
    <w:p>
      <w:pPr>
        <w:pStyle w:val="LegalList"/>
      </w:pPr>
      <w:r>
        <w:rPr>
          <w:rFonts w:ascii="Avenir Light" w:hAnsi="Avenir Light" w:eastAsia="Avenir Light" w:cs="Avenir Light"/>
          <w:b w:val="0"/>
          <w:i w:val="0"/>
          <w:color w:val="172126"/>
          <w:sz w:val="19"/>
        </w:rPr>
        <w:t>gg) Standart koşullar: Normal metre küp (Nm3) olarak tanımlanan 273,15 Kelvin (K) sıcaklık ve 101.325 Pascal (Pa) basınç koşullarını,</w:t>
      </w:r>
    </w:p>
    <w:p>
      <w:pPr>
        <w:pStyle w:val="LegalList"/>
      </w:pPr>
      <w:r>
        <w:rPr>
          <w:rFonts w:ascii="Avenir Light" w:hAnsi="Avenir Light" w:eastAsia="Avenir Light" w:cs="Avenir Light"/>
          <w:b w:val="0"/>
          <w:i w:val="0"/>
          <w:color w:val="172126"/>
          <w:sz w:val="19"/>
        </w:rPr>
        <w:t>ğğ) (Değişik:RG-5/2/2021-31386) Sürekli emisyon ölçümü: Doğrudan baca içinden numune alınarak, baca yakınındaki veya baca içindeki bir ölçüm cihazı kullanılarak, periyodik ölçümler vasıtasıyla bir niceliği belirlemek için gerçekleştirilen işlemler bütününü,</w:t>
      </w:r>
    </w:p>
    <w:p>
      <w:pPr>
        <w:pStyle w:val="LegalList"/>
      </w:pPr>
      <w:r>
        <w:rPr>
          <w:rFonts w:ascii="Avenir Light" w:hAnsi="Avenir Light" w:eastAsia="Avenir Light" w:cs="Avenir Light"/>
          <w:b w:val="0"/>
          <w:i w:val="0"/>
          <w:color w:val="172126"/>
          <w:sz w:val="19"/>
        </w:rPr>
        <w:t xml:space="preserve">hh) Tesis: Yönetmeliğin </w:t>
      </w:r>
      <w:hyperlink w:anchor="ek_1" w:history="1">
        <w:r>
          <w:rPr>
            <w:rFonts w:ascii="Avenir Light" w:hAnsi="Avenir Light" w:eastAsia="Avenir Light" w:cs="Avenir Light"/>
            <w:color w:val="188A42"/>
            <w:sz w:val="19"/>
            <w:szCs w:val="19"/>
          </w:rPr>
          <w:t xml:space="preserve">ek-1</w:t>
        </w:r>
      </w:hyperlink>
      <w:r>
        <w:rPr>
          <w:rFonts w:ascii="Avenir Light" w:hAnsi="Avenir Light" w:eastAsia="Avenir Light" w:cs="Avenir Light"/>
          <w:b w:val="0"/>
          <w:i w:val="0"/>
          <w:color w:val="172126"/>
          <w:sz w:val="19"/>
        </w:rPr>
        <w:t>’indeki listede belirtilen faaliyetlerin veya bu faaliyetler ile teknik bir bağlantısı olan, emisyonlar ve kirlilik üzerinde etkiye sahip olabilecek doğrudan ilişkili diğer faaliyetlerden herhangi birinin veya daha fazlasının yürütüldüğü sabit teknik üniteyi,</w:t>
      </w:r>
    </w:p>
    <w:p>
      <w:pPr>
        <w:pStyle w:val="LegalList"/>
      </w:pPr>
      <w:r>
        <w:rPr>
          <w:rFonts w:ascii="Avenir Light" w:hAnsi="Avenir Light" w:eastAsia="Avenir Light" w:cs="Avenir Light"/>
          <w:b w:val="0"/>
          <w:i w:val="0"/>
          <w:color w:val="172126"/>
          <w:sz w:val="19"/>
        </w:rPr>
        <w:t>ıı) Ticari standart yakıt: Akaryakıt ve LPG dahil olmak üzere, belirlenmiş kalorifik değerinden %95 güven aralığında %1’den fazla sapma göstermeyen uluslararası standart haline gelmiş ticari yakıtı,</w:t>
      </w:r>
    </w:p>
    <w:p>
      <w:pPr>
        <w:pStyle w:val="LegalList"/>
      </w:pPr>
      <w:r>
        <w:rPr>
          <w:rFonts w:ascii="Avenir Light" w:hAnsi="Avenir Light" w:eastAsia="Avenir Light" w:cs="Avenir Light"/>
          <w:b w:val="0"/>
          <w:i w:val="0"/>
          <w:color w:val="172126"/>
          <w:sz w:val="19"/>
        </w:rPr>
        <w:t>ii) (Değişik:RG-5/2/2021-31386) Ton CO 2 (eşd): Metrik ton CO 2 veya CO 2 (eşd)’yi,</w:t>
      </w:r>
    </w:p>
    <w:p>
      <w:pPr>
        <w:pStyle w:val="LegalList"/>
      </w:pPr>
      <w:r>
        <w:rPr>
          <w:rFonts w:ascii="Avenir Light" w:hAnsi="Avenir Light" w:eastAsia="Avenir Light" w:cs="Avenir Light"/>
          <w:b w:val="0"/>
          <w:i w:val="0"/>
          <w:color w:val="172126"/>
          <w:sz w:val="19"/>
        </w:rPr>
        <w:t>jj) Veri akış faaliyetleri: Birincil kaynak verileri kullanılarak hazırlanacak bir emisyon raporu için gerekli olan verilerin elde edilmesi, işlenmesi ve kullanılması ile ilgili faaliyetleri,</w:t>
      </w:r>
    </w:p>
    <w:p>
      <w:pPr>
        <w:pStyle w:val="LegalList"/>
      </w:pPr>
      <w:r>
        <w:rPr>
          <w:rFonts w:ascii="Avenir Light" w:hAnsi="Avenir Light" w:eastAsia="Avenir Light" w:cs="Avenir Light"/>
          <w:b w:val="0"/>
          <w:i w:val="0"/>
          <w:color w:val="172126"/>
          <w:sz w:val="19"/>
        </w:rPr>
        <w:t>kk) Yanma emisyonları: Bir yakıtın oksijen ile ekzotermik reaksiyonu sırasında ortaya çıkan sera gazı emisyonunu,</w:t>
      </w:r>
    </w:p>
    <w:p>
      <w:pPr>
        <w:pStyle w:val="LegalList"/>
      </w:pPr>
      <w:r>
        <w:rPr>
          <w:rFonts w:ascii="Avenir Light" w:hAnsi="Avenir Light" w:eastAsia="Avenir Light" w:cs="Avenir Light"/>
          <w:b w:val="0"/>
          <w:i w:val="0"/>
          <w:color w:val="172126"/>
          <w:sz w:val="19"/>
        </w:rPr>
        <w:t>ll) Yasal metrolojik kontrol: Kamu menfaati, kamu sağlığı, kamu güvenliği, kamu düzeni, tüketicilerin ve çevrenin korunması, vergi ve harçların toplanması, adil ticaret gibi sebeplerle bir ölçü aletinin ölçme işlemlerinin kontrolünü,</w:t>
      </w:r>
    </w:p>
    <w:p>
      <w:pPr>
        <w:pStyle w:val="LegalList"/>
      </w:pPr>
      <w:r>
        <w:rPr>
          <w:rFonts w:ascii="Avenir Light" w:hAnsi="Avenir Light" w:eastAsia="Avenir Light" w:cs="Avenir Light"/>
          <w:b w:val="0"/>
          <w:i w:val="0"/>
          <w:color w:val="172126"/>
          <w:sz w:val="19"/>
        </w:rPr>
        <w:t>mm) Yönetmelik: 17/5/2014 tarihli ve 29003 sayılı Resmî Gazete’de yayımlanan Sera Gazı Emisyonlarının Takibi Hakkında Yönetmeliği,</w:t>
      </w:r>
    </w:p>
    <w:p>
      <w:pPr>
        <w:pStyle w:val="LegalList"/>
      </w:pPr>
      <w:r>
        <w:rPr>
          <w:rFonts w:ascii="Avenir Light" w:hAnsi="Avenir Light" w:eastAsia="Avenir Light" w:cs="Avenir Light"/>
          <w:b w:val="0"/>
          <w:i w:val="0"/>
          <w:color w:val="172126"/>
          <w:sz w:val="19"/>
        </w:rPr>
        <w:t>nn) (Değişik:RG-5/2/2021-31386) Yükseltgenme faktörü: Yanma sonucunda karbondioksite yükseltgenen karbonun, yakıt içerisindeki toplam karbona olan oranını (atmosfere salınan CO, CO 2 ’nin molar eşdeğeri olarak alınır),</w:t>
      </w:r>
    </w:p>
    <w:p>
      <w:pPr>
        <w:pStyle w:val="LegalList"/>
      </w:pPr>
      <w:r>
        <w:rPr>
          <w:rFonts w:ascii="Avenir Light" w:hAnsi="Avenir Light" w:eastAsia="Avenir Light" w:cs="Avenir Light"/>
          <w:b w:val="0"/>
          <w:i w:val="0"/>
          <w:color w:val="172126"/>
          <w:sz w:val="19"/>
        </w:rPr>
        <w:t xml:space="preserve">oo) (Ek:RG-5/2/2021-31386) İşletmeci: Bu Tebliğin </w:t>
      </w:r>
      <w:hyperlink w:anchor="ek_1" w:history="1">
        <w:r>
          <w:rPr>
            <w:rFonts w:ascii="Avenir Light" w:hAnsi="Avenir Light" w:eastAsia="Avenir Light" w:cs="Avenir Light"/>
            <w:color w:val="188A42"/>
            <w:sz w:val="19"/>
            <w:szCs w:val="19"/>
          </w:rPr>
          <w:t xml:space="preserve">EK-1</w:t>
        </w:r>
      </w:hyperlink>
      <w:r>
        <w:rPr>
          <w:rFonts w:ascii="Avenir Light" w:hAnsi="Avenir Light" w:eastAsia="Avenir Light" w:cs="Avenir Light"/>
          <w:b w:val="0"/>
          <w:i w:val="0"/>
          <w:color w:val="172126"/>
          <w:sz w:val="19"/>
        </w:rPr>
        <w:t>’inde yer alan faaliyeti yürüten veya tesisi işleten ve mülkiyet hakkı, kiralama veya diğer hukukî yollarla kullanma hakkına sahip bulunan sorumlu gerçek kişiler ve özel hukuk tüzel kişileri ile kamu kurum ve kuruluşlarını,</w:t>
      </w:r>
    </w:p>
    <w:p>
      <w:pPr>
        <w:pStyle w:val="LegalList"/>
      </w:pPr>
      <w:r>
        <w:rPr>
          <w:rFonts w:ascii="Avenir Light" w:hAnsi="Avenir Light" w:eastAsia="Avenir Light" w:cs="Avenir Light"/>
          <w:b w:val="0"/>
          <w:i w:val="0"/>
          <w:color w:val="172126"/>
          <w:sz w:val="19"/>
        </w:rPr>
        <w:t>öö) (Ek:RG-5/2/2021-31386) İzleme Planı: Veri toplama ve işleme faaliyetleri ile izleme metodolojisinin detaylı, eksiksiz ve şeffaf olarak içeren belgeyi,</w:t>
      </w:r>
    </w:p>
    <w:p>
      <w:pPr>
        <w:pStyle w:val="LegalList"/>
      </w:pPr>
      <w:r>
        <w:rPr>
          <w:rFonts w:ascii="Avenir Light" w:hAnsi="Avenir Light" w:eastAsia="Avenir Light" w:cs="Avenir Light"/>
          <w:b w:val="0"/>
          <w:i w:val="0"/>
          <w:color w:val="172126"/>
          <w:sz w:val="19"/>
        </w:rPr>
        <w:t>pp) (Ek:RG-5/2/2021-31386) Makul olmayan maliyet: İşletme tarafından hesaplama faktörlerinin analize dayalı yöntemler ile tespit edilmesi için gerekli maliyetin, elde edilecek olan veri kalitesindeki iyileşme ile kıyaslanması sonucunda makul olmadığı sonucuna varılmasınına sebep olan eşiği,</w:t>
      </w:r>
    </w:p>
    <w:p>
      <w:pPr>
        <w:pStyle w:val="LegalList"/>
      </w:pPr>
      <w:r>
        <w:rPr>
          <w:rFonts w:ascii="Avenir Light" w:hAnsi="Avenir Light" w:eastAsia="Avenir Light" w:cs="Avenir Light"/>
          <w:b w:val="0"/>
          <w:i w:val="0"/>
          <w:color w:val="172126"/>
          <w:sz w:val="19"/>
        </w:rPr>
        <w:t>rr) (Ek:RG-5/2/2021-31386) Sertifikalı Referans Malzeme: Bir ölçüm sürecinde amaçlanan kullanımına uyacak şekilde oluşturulmuş, bir veya daha fazla belirtilen özelliklere göre izlenebilir, yeterince homojen ve kararlı malzemeyi,</w:t>
      </w:r>
    </w:p>
    <w:p>
      <w:pPr>
        <w:pStyle w:val="LegalList"/>
      </w:pPr>
      <w:r>
        <w:rPr>
          <w:rFonts w:ascii="Avenir Light" w:hAnsi="Avenir Light" w:eastAsia="Avenir Light" w:cs="Avenir Light"/>
          <w:b w:val="0"/>
          <w:i w:val="0"/>
          <w:color w:val="172126"/>
          <w:sz w:val="19"/>
        </w:rPr>
        <w:t>ss) (Ek:RG-5/2/2021-31386) Transfer edilen CO 2 : Tesiste oluşan fakat uzun süreli jeolojik depolanması amacıyla yakalanması, taşınması ve depolanması sebebiyle emisyonu gerçekleşmeyen karbondioksiti, ifade eder.</w:t>
      </w:r>
    </w:p>
    <w:p>
      <w:pPr>
        <w:pStyle w:val="PartLabel"/>
      </w:pPr>
      <w:r>
        <w:rPr>
          <w:rFonts w:ascii="Avenir Light" w:hAnsi="Avenir Light" w:eastAsia="Avenir Light" w:cs="Avenir Light"/>
          <w:b w:val="0"/>
          <w:i w:val="0"/>
          <w:color w:val="0D5F31"/>
          <w:sz w:val="26"/>
        </w:rPr>
        <w:t>İKİNCİ BÖLÜM</w:t>
      </w:r>
    </w:p>
    <w:p>
      <w:pPr>
        <w:pStyle w:val="PartTitle"/>
      </w:pPr>
      <w:r>
        <w:rPr>
          <w:rFonts w:ascii="Avenir Light" w:hAnsi="Avenir Light" w:eastAsia="Avenir Light" w:cs="Avenir Light"/>
          <w:b w:val="0"/>
          <w:i w:val="0"/>
          <w:color w:val="172126"/>
          <w:sz w:val="22"/>
        </w:rPr>
        <w:t>Temel Prensipler</w:t>
      </w:r>
    </w:p>
    <w:p>
      <w:pPr>
        <w:pStyle w:val="ArticleTitle"/>
      </w:pPr>
      <w:r>
        <w:rPr>
          <w:rFonts w:ascii="Avenir Light" w:hAnsi="Avenir Light" w:eastAsia="Avenir Light" w:cs="Avenir Light"/>
          <w:b w:val="0"/>
          <w:i w:val="0"/>
          <w:color w:val="0D5F31"/>
          <w:sz w:val="21"/>
        </w:rPr>
        <w:t>Eksiksizlik</w:t>
      </w:r>
    </w:p>
    <w:p>
      <w:bookmarkStart w:id="14" w:name="madde_5"/>
      <w:pPr>
        <w:pStyle w:val="ArticleText"/>
      </w:pPr>
      <w:r>
        <w:rPr>
          <w:rFonts w:ascii="Avenir Light" w:hAnsi="Avenir Light" w:eastAsia="Avenir Light" w:cs="Avenir Light"/>
          <w:b w:val="0"/>
          <w:i w:val="0"/>
          <w:color w:val="172126"/>
          <w:sz w:val="19"/>
        </w:rPr>
        <w:t xml:space="preserve">MADDE 5 – (1) İzleme ve raporlama eksiksiz yapılır ve Yönetmeliğin </w:t>
      </w:r>
      <w:hyperlink w:anchor="ek_1" w:history="1">
        <w:r>
          <w:rPr>
            <w:rFonts w:ascii="Avenir Light" w:hAnsi="Avenir Light" w:eastAsia="Avenir Light" w:cs="Avenir Light"/>
            <w:color w:val="188A42"/>
            <w:sz w:val="19"/>
            <w:szCs w:val="19"/>
          </w:rPr>
          <w:t xml:space="preserve">ek-1</w:t>
        </w:r>
      </w:hyperlink>
      <w:r>
        <w:rPr>
          <w:rFonts w:ascii="Avenir Light" w:hAnsi="Avenir Light" w:eastAsia="Avenir Light" w:cs="Avenir Light"/>
          <w:b w:val="0"/>
          <w:i w:val="0"/>
          <w:color w:val="172126"/>
          <w:sz w:val="19"/>
        </w:rPr>
        <w:t>’inde listelenen faaliyetlere ait bütün emisyon kaynaklarından ve kaynak akışlarından gelen tüm proses ve yanma emisyonlarını ve mükerrer hesabı engelleyerek bu faaliyetler ile ilgili belirtilen bütün sera gazlarını kapsar. İşletme, raporlama döneminde veri kaybını engellemek için gerekli tedbirleri almakla yükümlüdür.</w:t>
      </w:r>
      <w:bookmarkEnd w:id="14"/>
    </w:p>
    <w:p>
      <w:pPr>
        <w:pStyle w:val="ArticleTitle"/>
      </w:pPr>
      <w:r>
        <w:rPr>
          <w:rFonts w:ascii="Avenir Light" w:hAnsi="Avenir Light" w:eastAsia="Avenir Light" w:cs="Avenir Light"/>
          <w:b w:val="0"/>
          <w:i w:val="0"/>
          <w:color w:val="0D5F31"/>
          <w:sz w:val="21"/>
        </w:rPr>
        <w:t>Tutarlılık, karşılaştırılabilirlik ve şeffaflık</w:t>
      </w:r>
    </w:p>
    <w:p>
      <w:bookmarkStart w:id="15" w:name="madde_6"/>
      <w:pPr>
        <w:pStyle w:val="ArticleText"/>
      </w:pPr>
      <w:r>
        <w:rPr>
          <w:rFonts w:ascii="Avenir Light" w:hAnsi="Avenir Light" w:eastAsia="Avenir Light" w:cs="Avenir Light"/>
          <w:b w:val="0"/>
          <w:i w:val="0"/>
          <w:color w:val="172126"/>
          <w:sz w:val="19"/>
        </w:rPr>
        <w:t>MADDE 6 – (1) İzleme ve raporlama her zaman tutarlı ve karşılaştırılabilir esaslar çerçevesinde oluşturulur. Bu amaçla, işletme, Bakanlık tarafından onaylanan değişikliklere ve istisnalara bağlı olarak, aynı izleme yöntemini ve veri gruplarını kullanmakla yükümlüdür.</w:t>
      </w:r>
      <w:bookmarkEnd w:id="15"/>
    </w:p>
    <w:p>
      <w:pPr>
        <w:pStyle w:val="LegalList"/>
      </w:pPr>
      <w:r>
        <w:rPr>
          <w:rFonts w:ascii="Avenir Light" w:hAnsi="Avenir Light" w:eastAsia="Avenir Light" w:cs="Avenir Light"/>
          <w:b w:val="0"/>
          <w:i w:val="0"/>
          <w:color w:val="172126"/>
          <w:sz w:val="19"/>
        </w:rPr>
        <w:t>(2) İşletme, tahminlerini, referanslarını, faaliyet verisini, emisyon faktörlerini, yükseltgenme faktörlerini ve dönüşüm faktörlerini içeren izleme verilerini doğrulayıcı kuruluş ve Bakanlık tarafından emisyonların verisinin yeniden üretilmesini mümkün kılacak şeffaflıkta toplar, kaydeder, analiz eder ve belgelendirir.</w:t>
      </w:r>
    </w:p>
    <w:p>
      <w:pPr>
        <w:pStyle w:val="ArticleTitle"/>
      </w:pPr>
      <w:r>
        <w:rPr>
          <w:rFonts w:ascii="Avenir Light" w:hAnsi="Avenir Light" w:eastAsia="Avenir Light" w:cs="Avenir Light"/>
          <w:b w:val="0"/>
          <w:i w:val="0"/>
          <w:color w:val="0D5F31"/>
          <w:sz w:val="21"/>
        </w:rPr>
        <w:t>Doğruluk</w:t>
      </w:r>
    </w:p>
    <w:p>
      <w:bookmarkStart w:id="16" w:name="madde_7"/>
      <w:pPr>
        <w:pStyle w:val="ArticleText"/>
      </w:pPr>
      <w:r>
        <w:rPr>
          <w:rFonts w:ascii="Avenir Light" w:hAnsi="Avenir Light" w:eastAsia="Avenir Light" w:cs="Avenir Light"/>
          <w:b w:val="0"/>
          <w:i w:val="0"/>
          <w:color w:val="172126"/>
          <w:sz w:val="19"/>
        </w:rPr>
        <w:t>MADDE 7 – (1) İşletme, emisyonların belirlenmesinde sistematik veya kasıtlı hatalar olmasını engeller, mümkün olduğunca hata kaynaklarını tanımlar ve azaltır. Emisyon hesaplarının ve ölçümlerinin erişilebilir en yüksek doğrulukta olmasını sağlar.</w:t>
      </w:r>
      <w:bookmarkEnd w:id="16"/>
    </w:p>
    <w:p>
      <w:pPr>
        <w:pStyle w:val="ArticleTitle"/>
      </w:pPr>
      <w:r>
        <w:rPr>
          <w:rFonts w:ascii="Avenir Light" w:hAnsi="Avenir Light" w:eastAsia="Avenir Light" w:cs="Avenir Light"/>
          <w:b w:val="0"/>
          <w:i w:val="0"/>
          <w:color w:val="0D5F31"/>
          <w:sz w:val="21"/>
        </w:rPr>
        <w:t>İzleme ve raporlama yönteminin bütünlüğü</w:t>
      </w:r>
    </w:p>
    <w:p>
      <w:bookmarkStart w:id="17" w:name="madde_8"/>
      <w:pPr>
        <w:pStyle w:val="ArticleText"/>
      </w:pPr>
      <w:r>
        <w:rPr>
          <w:rFonts w:ascii="Avenir Light" w:hAnsi="Avenir Light" w:eastAsia="Avenir Light" w:cs="Avenir Light"/>
          <w:b w:val="0"/>
          <w:i w:val="0"/>
          <w:color w:val="172126"/>
          <w:sz w:val="19"/>
        </w:rPr>
        <w:t>MADDE 8 – (1) İşletme, raporlanacak emisyon verisinin bütünlüğünü sağlamak için, bu Tebliğde ortaya konan uygun izleme yöntemlerini kullanarak emisyonları belirler.</w:t>
      </w:r>
      <w:bookmarkEnd w:id="17"/>
    </w:p>
    <w:p>
      <w:pPr>
        <w:pStyle w:val="LegalList"/>
      </w:pPr>
      <w:r>
        <w:rPr>
          <w:rFonts w:ascii="Avenir Light" w:hAnsi="Avenir Light" w:eastAsia="Avenir Light" w:cs="Avenir Light"/>
          <w:b w:val="0"/>
          <w:i w:val="0"/>
          <w:color w:val="172126"/>
          <w:sz w:val="19"/>
        </w:rPr>
        <w:t>(2) Raporlanmış emisyon verisi ve ilgili açıklamalar maddi hata içermez, bilgi tarafsız bir şekilde seçilir ve sunulur, tesis emisyonları hakkında güvenilir ve dengeli bir hesaplama sağlanır.</w:t>
      </w:r>
    </w:p>
    <w:p>
      <w:pPr>
        <w:pStyle w:val="LegalList"/>
      </w:pPr>
      <w:r>
        <w:rPr>
          <w:rFonts w:ascii="Avenir Light" w:hAnsi="Avenir Light" w:eastAsia="Avenir Light" w:cs="Avenir Light"/>
          <w:b w:val="0"/>
          <w:i w:val="0"/>
          <w:color w:val="172126"/>
          <w:sz w:val="19"/>
        </w:rPr>
        <w:t>(3) Bir izleme yöntemi seçilirken, en yüksek doğruluk hedeflenir.</w:t>
      </w:r>
    </w:p>
    <w:p>
      <w:pPr>
        <w:pStyle w:val="ArticleTitle"/>
      </w:pPr>
      <w:r>
        <w:rPr>
          <w:rFonts w:ascii="Avenir Light" w:hAnsi="Avenir Light" w:eastAsia="Avenir Light" w:cs="Avenir Light"/>
          <w:b w:val="0"/>
          <w:i w:val="0"/>
          <w:color w:val="0D5F31"/>
          <w:sz w:val="21"/>
        </w:rPr>
        <w:t>Sürekli gelişim</w:t>
      </w:r>
    </w:p>
    <w:p>
      <w:bookmarkStart w:id="18" w:name="madde_9"/>
      <w:pPr>
        <w:pStyle w:val="ArticleText"/>
      </w:pPr>
      <w:r>
        <w:rPr>
          <w:rFonts w:ascii="Avenir Light" w:hAnsi="Avenir Light" w:eastAsia="Avenir Light" w:cs="Avenir Light"/>
          <w:b w:val="0"/>
          <w:i w:val="0"/>
          <w:color w:val="172126"/>
          <w:sz w:val="19"/>
        </w:rPr>
        <w:t xml:space="preserve">MADDE 9 – (1) İşletme, izleme ve raporlamada Yönetmeliğin </w:t>
      </w:r>
      <w:hyperlink w:anchor="madde_8" w:history="1">
        <w:r>
          <w:rPr>
            <w:rFonts w:ascii="Avenir Light" w:hAnsi="Avenir Light" w:eastAsia="Avenir Light" w:cs="Avenir Light"/>
            <w:color w:val="188A42"/>
            <w:sz w:val="19"/>
            <w:szCs w:val="19"/>
          </w:rPr>
          <w:t xml:space="preserve">8 inci madde</w:t>
        </w:r>
      </w:hyperlink>
      <w:r>
        <w:rPr>
          <w:rFonts w:ascii="Avenir Light" w:hAnsi="Avenir Light" w:eastAsia="Avenir Light" w:cs="Avenir Light"/>
          <w:b w:val="0"/>
          <w:i w:val="0"/>
          <w:color w:val="172126"/>
          <w:sz w:val="19"/>
        </w:rPr>
        <w:t>si kapsamında hazırlanan doğrulama raporlarında yer alan tavsiyeleri dikkate alır.</w:t>
      </w:r>
      <w:bookmarkEnd w:id="18"/>
    </w:p>
    <w:p>
      <w:pPr>
        <w:pStyle w:val="PartLabel"/>
      </w:pPr>
      <w:r>
        <w:rPr>
          <w:rFonts w:ascii="Avenir Light" w:hAnsi="Avenir Light" w:eastAsia="Avenir Light" w:cs="Avenir Light"/>
          <w:b w:val="0"/>
          <w:i w:val="0"/>
          <w:color w:val="0D5F31"/>
          <w:sz w:val="26"/>
        </w:rPr>
        <w:t>ÜÇÜNCÜ BÖLÜM</w:t>
      </w:r>
    </w:p>
    <w:p>
      <w:pPr>
        <w:pStyle w:val="PartTitle"/>
      </w:pPr>
      <w:r>
        <w:rPr>
          <w:rFonts w:ascii="Avenir Light" w:hAnsi="Avenir Light" w:eastAsia="Avenir Light" w:cs="Avenir Light"/>
          <w:b w:val="0"/>
          <w:i w:val="0"/>
          <w:color w:val="172126"/>
          <w:sz w:val="22"/>
        </w:rPr>
        <w:t>İzleme Planına İlişkin Genel ve Teknik Hususlar</w:t>
      </w:r>
    </w:p>
    <w:p>
      <w:pPr>
        <w:pStyle w:val="ArticleTitle"/>
      </w:pPr>
      <w:r>
        <w:rPr>
          <w:rFonts w:ascii="Avenir Light" w:hAnsi="Avenir Light" w:eastAsia="Avenir Light" w:cs="Avenir Light"/>
          <w:b w:val="0"/>
          <w:i w:val="0"/>
          <w:color w:val="0D5F31"/>
          <w:sz w:val="21"/>
        </w:rPr>
        <w:t>Genel yükümlülük</w:t>
      </w:r>
    </w:p>
    <w:p>
      <w:bookmarkStart w:id="19" w:name="madde_10"/>
      <w:pPr>
        <w:pStyle w:val="ArticleText"/>
      </w:pPr>
      <w:r>
        <w:rPr>
          <w:rFonts w:ascii="Avenir Light" w:hAnsi="Avenir Light" w:eastAsia="Avenir Light" w:cs="Avenir Light"/>
          <w:b w:val="0"/>
          <w:i w:val="0"/>
          <w:color w:val="172126"/>
          <w:sz w:val="19"/>
        </w:rPr>
        <w:t>MADDE 10 – (1) Her bir işletme, Bakanlık tarafından tesis özelinde onaylanan izleme planını dikkate alarak sera gazı emisyonlarını izler. İzleme planı, gerektiği hallerde izleme planı kapsamındaki faaliyetler için işletme tarafından oluşturulan, belgelenen, uyarlanan ve sürdürülen yazılı prosedürler ile desteklenir.</w:t>
      </w:r>
      <w:bookmarkEnd w:id="19"/>
    </w:p>
    <w:p>
      <w:pPr>
        <w:pStyle w:val="LegalList"/>
      </w:pPr>
      <w:r>
        <w:rPr>
          <w:rFonts w:ascii="Avenir Light" w:hAnsi="Avenir Light" w:eastAsia="Avenir Light" w:cs="Avenir Light"/>
          <w:b w:val="0"/>
          <w:i w:val="0"/>
          <w:color w:val="172126"/>
          <w:sz w:val="19"/>
        </w:rPr>
        <w:t>(2) İzleme planı, tesiste mevcut bulunan veya işletme tarafından kullanılan mevcut sistemleri dikkate alarak, iş tekrarlarını önleyerek talimatları mantıklı ve basit bir şekilde işletmeciye tarif eder.</w:t>
      </w:r>
    </w:p>
    <w:p>
      <w:pPr>
        <w:pStyle w:val="LegalList"/>
      </w:pPr>
      <w:r>
        <w:rPr>
          <w:rFonts w:ascii="Avenir Light" w:hAnsi="Avenir Light" w:eastAsia="Avenir Light" w:cs="Avenir Light"/>
          <w:b w:val="0"/>
          <w:i w:val="0"/>
          <w:color w:val="172126"/>
          <w:sz w:val="19"/>
        </w:rPr>
        <w:t>(3) (Ek:RG-5/2/2021-31386) İşletme bir takvim yılı içerisinde 30 gün ve/veya daha az çalışmış ise buna ilişkin bağlı bulunduğu Çevre ve Şehircilik İl Müdürlüğünden aldığı onaylı belgeyi Bakanlığa sunmak koşuluyla doğrulama sözleşmesindeki doğrulama süresini asgari olarak düşük emisyonlu tesisler için belirlenmiş süreler üzerinden belirler. Bu madde kapsamındaki tesis düşük emisyonlu tesis ise doğrulama sözleşmesindeki asgari doğrulama süresi asgari saha ziyareti süresi 1 adam-günden az olmamak kaydıyla en az 2 adam-gün olarak belirlenir.</w:t>
      </w:r>
    </w:p>
    <w:p>
      <w:pPr>
        <w:pStyle w:val="LegalList"/>
      </w:pPr>
      <w:r>
        <w:rPr>
          <w:rFonts w:ascii="Avenir Light" w:hAnsi="Avenir Light" w:eastAsia="Avenir Light" w:cs="Avenir Light"/>
          <w:b w:val="0"/>
          <w:i w:val="0"/>
          <w:color w:val="172126"/>
          <w:sz w:val="19"/>
        </w:rPr>
        <w:t>(4) (Ek:RG-5/2/2021-31386) Kapatılan işletmeler; kapatıldıktan sonra en geç 2 ay içinde, o yılın doğrulanmış emisyon raporlarını Bakanlığa sunmakla yükümlüdürler.</w:t>
      </w:r>
    </w:p>
    <w:p>
      <w:pPr>
        <w:pStyle w:val="LegalList"/>
      </w:pPr>
      <w:r>
        <w:rPr>
          <w:rFonts w:ascii="Avenir Light" w:hAnsi="Avenir Light" w:eastAsia="Avenir Light" w:cs="Avenir Light"/>
          <w:b w:val="0"/>
          <w:i w:val="0"/>
          <w:color w:val="172126"/>
          <w:sz w:val="19"/>
        </w:rPr>
        <w:t>(5) (Ek:RG-5/2/2021-31386) Bakanlık tarafından bu Tebliğ hükümlerinin uygulanmasına ilişkin rehber dokümanlar yayımlanır.</w:t>
      </w:r>
    </w:p>
    <w:p>
      <w:pPr>
        <w:pStyle w:val="ArticleTitle"/>
      </w:pPr>
      <w:r>
        <w:rPr>
          <w:rFonts w:ascii="Avenir Light" w:hAnsi="Avenir Light" w:eastAsia="Avenir Light" w:cs="Avenir Light"/>
          <w:b w:val="0"/>
          <w:i w:val="0"/>
          <w:color w:val="0D5F31"/>
          <w:sz w:val="21"/>
        </w:rPr>
        <w:t>İzleme planının içeriği ve sunulması</w:t>
      </w:r>
    </w:p>
    <w:p>
      <w:bookmarkStart w:id="20" w:name="madde_11"/>
      <w:pPr>
        <w:pStyle w:val="ArticleText"/>
      </w:pPr>
      <w:r>
        <w:rPr>
          <w:rFonts w:ascii="Avenir Light" w:hAnsi="Avenir Light" w:eastAsia="Avenir Light" w:cs="Avenir Light"/>
          <w:b w:val="0"/>
          <w:i w:val="0"/>
          <w:color w:val="172126"/>
          <w:sz w:val="19"/>
        </w:rPr>
        <w:t xml:space="preserve">MADDE 11 – (1) İşletme, hazırladığı izleme planını onaylanmak üzere Bakanlığa gönderir. İzleme planı, belirli bir tesisin izleme yönteminin detaylı, tam ve şeffaf bir şekilde gerekli belge yönetimini ve asgari düzeyde </w:t>
      </w:r>
      <w:hyperlink w:anchor="ek_1" w:history="1">
        <w:r>
          <w:rPr>
            <w:rFonts w:ascii="Avenir Light" w:hAnsi="Avenir Light" w:eastAsia="Avenir Light" w:cs="Avenir Light"/>
            <w:color w:val="188A42"/>
            <w:sz w:val="19"/>
            <w:szCs w:val="19"/>
          </w:rPr>
          <w:t xml:space="preserve">ek-1</w:t>
        </w:r>
      </w:hyperlink>
      <w:r>
        <w:rPr>
          <w:rFonts w:ascii="Avenir Light" w:hAnsi="Avenir Light" w:eastAsia="Avenir Light" w:cs="Avenir Light"/>
          <w:b w:val="0"/>
          <w:i w:val="0"/>
          <w:color w:val="172126"/>
          <w:sz w:val="19"/>
        </w:rPr>
        <w:t>’de belirtilmiş olan hususları içerir. İzleme planı ile birlikte, işletme aşağıdaki belgeleri sunar:</w:t>
      </w:r>
      <w:bookmarkEnd w:id="20"/>
    </w:p>
    <w:p>
      <w:pPr>
        <w:pStyle w:val="LegalList"/>
      </w:pPr>
      <w:r>
        <w:rPr>
          <w:rFonts w:ascii="Avenir Light" w:hAnsi="Avenir Light" w:eastAsia="Avenir Light" w:cs="Avenir Light"/>
          <w:b w:val="0"/>
          <w:i w:val="0"/>
          <w:color w:val="172126"/>
          <w:sz w:val="19"/>
        </w:rPr>
        <w:t xml:space="preserve">a) (Değişik:RG-5/2/2021-31386) Hesaplama temelli yöntem için her bir büyük ve küçük kaynak akışı ve emisyon kaynağı için faaliyet verilerinin belirsizliğinin ve hesaplama faktörlerinin bu Tebliğin </w:t>
      </w:r>
      <w:hyperlink w:anchor="ek_2" w:history="1">
        <w:r>
          <w:rPr>
            <w:rFonts w:ascii="Avenir Light" w:hAnsi="Avenir Light" w:eastAsia="Avenir Light" w:cs="Avenir Light"/>
            <w:color w:val="188A42"/>
            <w:sz w:val="19"/>
            <w:szCs w:val="19"/>
          </w:rPr>
          <w:t xml:space="preserve">EK-2</w:t>
        </w:r>
      </w:hyperlink>
      <w:r>
        <w:rPr>
          <w:rFonts w:ascii="Avenir Light" w:hAnsi="Avenir Light" w:eastAsia="Avenir Light" w:cs="Avenir Light"/>
          <w:b w:val="0"/>
          <w:i w:val="0"/>
          <w:color w:val="172126"/>
          <w:sz w:val="19"/>
        </w:rPr>
        <w:t xml:space="preserve"> ve </w:t>
      </w:r>
      <w:hyperlink w:anchor="ek_3" w:history="1">
        <w:r>
          <w:rPr>
            <w:rFonts w:ascii="Avenir Light" w:hAnsi="Avenir Light" w:eastAsia="Avenir Light" w:cs="Avenir Light"/>
            <w:color w:val="188A42"/>
            <w:sz w:val="19"/>
            <w:szCs w:val="19"/>
          </w:rPr>
          <w:t xml:space="preserve">EK-3</w:t>
        </w:r>
      </w:hyperlink>
      <w:r>
        <w:rPr>
          <w:rFonts w:ascii="Avenir Light" w:hAnsi="Avenir Light" w:eastAsia="Avenir Light" w:cs="Avenir Light"/>
          <w:b w:val="0"/>
          <w:i w:val="0"/>
          <w:color w:val="172126"/>
          <w:sz w:val="19"/>
        </w:rPr>
        <w:t xml:space="preserve">’ünde tanımlanmış ve uygulanan kademelere uyumlu olduğuna; ölçüm temelli yöntem için her bir emisyon kaynağının bu Tebliğin </w:t>
      </w:r>
      <w:hyperlink w:anchor="ek_7" w:history="1">
        <w:r>
          <w:rPr>
            <w:rFonts w:ascii="Avenir Light" w:hAnsi="Avenir Light" w:eastAsia="Avenir Light" w:cs="Avenir Light"/>
            <w:color w:val="188A42"/>
            <w:sz w:val="19"/>
            <w:szCs w:val="19"/>
          </w:rPr>
          <w:t xml:space="preserve">EK-7</w:t>
        </w:r>
      </w:hyperlink>
      <w:r>
        <w:rPr>
          <w:rFonts w:ascii="Avenir Light" w:hAnsi="Avenir Light" w:eastAsia="Avenir Light" w:cs="Avenir Light"/>
          <w:b w:val="0"/>
          <w:i w:val="0"/>
          <w:color w:val="172126"/>
          <w:sz w:val="19"/>
        </w:rPr>
        <w:t>’sinde tanımlanmış ve uygulanan kademelerdeki belirsizlik eşikleri ile uyumlu olduğuna ilişkin bilgi ve belgeleri,</w:t>
      </w:r>
    </w:p>
    <w:p>
      <w:pPr>
        <w:pStyle w:val="LegalList"/>
      </w:pPr>
      <w:r>
        <w:rPr>
          <w:rFonts w:ascii="Avenir Light" w:hAnsi="Avenir Light" w:eastAsia="Avenir Light" w:cs="Avenir Light"/>
          <w:b w:val="0"/>
          <w:i w:val="0"/>
          <w:color w:val="172126"/>
          <w:sz w:val="19"/>
        </w:rPr>
        <w:t>b) Kontrol için önerilen kontrol faaliyetlerinin ve prosedürlerinin dâhili riskler ve tanımlanmış kontrol riskleri ile tutarlı ve uygun olduğunu belgeleyen risk değerlendirmesi sonuçlarını.</w:t>
      </w:r>
    </w:p>
    <w:p>
      <w:pPr>
        <w:pStyle w:val="LegalList"/>
      </w:pPr>
      <w:r>
        <w:rPr>
          <w:rFonts w:ascii="Avenir Light" w:hAnsi="Avenir Light" w:eastAsia="Avenir Light" w:cs="Avenir Light"/>
          <w:b w:val="0"/>
          <w:i w:val="0"/>
          <w:color w:val="172126"/>
          <w:sz w:val="19"/>
        </w:rPr>
        <w:t xml:space="preserve">(2) İşletme izleme planından bağımsız olarak, </w:t>
      </w:r>
      <w:hyperlink w:anchor="ek_1" w:history="1">
        <w:r>
          <w:rPr>
            <w:rFonts w:ascii="Avenir Light" w:hAnsi="Avenir Light" w:eastAsia="Avenir Light" w:cs="Avenir Light"/>
            <w:color w:val="188A42"/>
            <w:sz w:val="19"/>
            <w:szCs w:val="19"/>
          </w:rPr>
          <w:t xml:space="preserve">ek-1</w:t>
        </w:r>
      </w:hyperlink>
      <w:r>
        <w:rPr>
          <w:rFonts w:ascii="Avenir Light" w:hAnsi="Avenir Light" w:eastAsia="Avenir Light" w:cs="Avenir Light"/>
          <w:b w:val="0"/>
          <w:i w:val="0"/>
          <w:color w:val="172126"/>
          <w:sz w:val="19"/>
        </w:rPr>
        <w:t>’de atıfta bulunulan prosedürleri oluşturur, belgeler, uygular ve devamlılığını sağlar. Bakanlıkça talep edilmesi halinde prosedüre ilişkin bilgileri yazılı olarak Bakanlığa sunar ve doğrulama için bunları erişilebilir hale getirir. İşletme, prosedüre ilişkin olarak;</w:t>
      </w:r>
    </w:p>
    <w:p>
      <w:pPr>
        <w:pStyle w:val="LegalList"/>
      </w:pPr>
      <w:r>
        <w:rPr>
          <w:rFonts w:ascii="Avenir Light" w:hAnsi="Avenir Light" w:eastAsia="Avenir Light" w:cs="Avenir Light"/>
          <w:b w:val="0"/>
          <w:i w:val="0"/>
          <w:color w:val="172126"/>
          <w:sz w:val="19"/>
        </w:rPr>
        <w:t>a) Prosedürün adı,</w:t>
      </w:r>
    </w:p>
    <w:p>
      <w:pPr>
        <w:pStyle w:val="LegalList"/>
      </w:pPr>
      <w:r>
        <w:rPr>
          <w:rFonts w:ascii="Avenir Light" w:hAnsi="Avenir Light" w:eastAsia="Avenir Light" w:cs="Avenir Light"/>
          <w:b w:val="0"/>
          <w:i w:val="0"/>
          <w:color w:val="172126"/>
          <w:sz w:val="19"/>
        </w:rPr>
        <w:t>b) Prosedürün tanımlanması için izlenebilir ve doğrulanabilir bir referans,</w:t>
      </w:r>
    </w:p>
    <w:p>
      <w:pPr>
        <w:pStyle w:val="LegalList"/>
      </w:pPr>
      <w:r>
        <w:rPr>
          <w:rFonts w:ascii="Avenir Light" w:hAnsi="Avenir Light" w:eastAsia="Avenir Light" w:cs="Avenir Light"/>
          <w:b w:val="0"/>
          <w:i w:val="0"/>
          <w:color w:val="172126"/>
          <w:sz w:val="19"/>
        </w:rPr>
        <w:t>c) Prosedürün uygulanmasından ve prosedür tarafından üretilen veya yönetilen veriden sorumlu olan birimler,</w:t>
      </w:r>
    </w:p>
    <w:p>
      <w:pPr>
        <w:pStyle w:val="LegalList"/>
      </w:pPr>
      <w:r>
        <w:rPr>
          <w:rFonts w:ascii="Avenir Light" w:hAnsi="Avenir Light" w:eastAsia="Avenir Light" w:cs="Avenir Light"/>
          <w:b w:val="0"/>
          <w:i w:val="0"/>
          <w:color w:val="172126"/>
          <w:sz w:val="19"/>
        </w:rPr>
        <w:t>ç) İşletmenin ve Bakanlığın prosedüre ilişkin gerekli parametreleri ve yapılan işlemleri anlamalarını sağlayacak açıklamalar,</w:t>
      </w:r>
    </w:p>
    <w:p>
      <w:pPr>
        <w:pStyle w:val="LegalList"/>
      </w:pPr>
      <w:r>
        <w:rPr>
          <w:rFonts w:ascii="Avenir Light" w:hAnsi="Avenir Light" w:eastAsia="Avenir Light" w:cs="Avenir Light"/>
          <w:b w:val="0"/>
          <w:i w:val="0"/>
          <w:color w:val="172126"/>
          <w:sz w:val="19"/>
        </w:rPr>
        <w:t>d) İlgili kayıtların ve bilgilerin yerleri,</w:t>
      </w:r>
    </w:p>
    <w:p>
      <w:pPr>
        <w:pStyle w:val="LegalList"/>
      </w:pPr>
      <w:r>
        <w:rPr>
          <w:rFonts w:ascii="Avenir Light" w:hAnsi="Avenir Light" w:eastAsia="Avenir Light" w:cs="Avenir Light"/>
          <w:b w:val="0"/>
          <w:i w:val="0"/>
          <w:color w:val="172126"/>
          <w:sz w:val="19"/>
        </w:rPr>
        <w:t>e) Varsa, kullanılan yazılımın adı,</w:t>
      </w:r>
    </w:p>
    <w:p>
      <w:pPr>
        <w:pStyle w:val="LegalList"/>
      </w:pPr>
      <w:r>
        <w:rPr>
          <w:rFonts w:ascii="Avenir Light" w:hAnsi="Avenir Light" w:eastAsia="Avenir Light" w:cs="Avenir Light"/>
          <w:b w:val="0"/>
          <w:i w:val="0"/>
          <w:color w:val="172126"/>
          <w:sz w:val="19"/>
        </w:rPr>
        <w:t>f) İlgili olduğu yerde, uygulanan Türk Standartları ve uluslararası kabul görmüş diğer standartların listesi, gibi bilgileri izleme planında sunar.</w:t>
      </w:r>
    </w:p>
    <w:p>
      <w:pPr>
        <w:pStyle w:val="ArticleTitle"/>
      </w:pPr>
      <w:r>
        <w:rPr>
          <w:rFonts w:ascii="Avenir Light" w:hAnsi="Avenir Light" w:eastAsia="Avenir Light" w:cs="Avenir Light"/>
          <w:b w:val="0"/>
          <w:i w:val="0"/>
          <w:color w:val="0D5F31"/>
          <w:sz w:val="21"/>
        </w:rPr>
        <w:t>Basitleştirilmiş izleme planları</w:t>
      </w:r>
    </w:p>
    <w:p>
      <w:bookmarkStart w:id="21" w:name="madde_12"/>
      <w:pPr>
        <w:pStyle w:val="ArticleText"/>
      </w:pPr>
      <w:r>
        <w:rPr>
          <w:rFonts w:ascii="Avenir Light" w:hAnsi="Avenir Light" w:eastAsia="Avenir Light" w:cs="Avenir Light"/>
          <w:b w:val="0"/>
          <w:i w:val="0"/>
          <w:color w:val="172126"/>
          <w:sz w:val="19"/>
        </w:rPr>
        <w:t xml:space="preserve">MADDE 12 – (1) Bakanlık, </w:t>
      </w:r>
      <w:hyperlink w:anchor="madde_45" w:history="1">
        <w:r>
          <w:rPr>
            <w:rFonts w:ascii="Avenir Light" w:hAnsi="Avenir Light" w:eastAsia="Avenir Light" w:cs="Avenir Light"/>
            <w:color w:val="188A42"/>
            <w:sz w:val="19"/>
            <w:szCs w:val="19"/>
          </w:rPr>
          <w:t xml:space="preserve">45 inci madde</w:t>
        </w:r>
      </w:hyperlink>
      <w:r>
        <w:rPr>
          <w:rFonts w:ascii="Avenir Light" w:hAnsi="Avenir Light" w:eastAsia="Avenir Light" w:cs="Avenir Light"/>
          <w:b w:val="0"/>
          <w:i w:val="0"/>
          <w:color w:val="172126"/>
          <w:sz w:val="19"/>
        </w:rPr>
        <w:t xml:space="preserve"> kapsamında işletmelere basitleştirilmiş izleme planlarını kullanmaları için izin verebilir, bu amaçla 48 inci ve </w:t>
      </w:r>
      <w:hyperlink w:anchor="madde_49" w:history="1">
        <w:r>
          <w:rPr>
            <w:rFonts w:ascii="Avenir Light" w:hAnsi="Avenir Light" w:eastAsia="Avenir Light" w:cs="Avenir Light"/>
            <w:color w:val="188A42"/>
            <w:sz w:val="19"/>
            <w:szCs w:val="19"/>
          </w:rPr>
          <w:t xml:space="preserve">49 uncu madde</w:t>
        </w:r>
      </w:hyperlink>
      <w:r>
        <w:rPr>
          <w:rFonts w:ascii="Avenir Light" w:hAnsi="Avenir Light" w:eastAsia="Avenir Light" w:cs="Avenir Light"/>
          <w:b w:val="0"/>
          <w:i w:val="0"/>
          <w:color w:val="172126"/>
          <w:sz w:val="19"/>
        </w:rPr>
        <w:t>ler kapsamında belirtilen veri akışı tanımı ve kontrol prosedürlerini de içeren şablonlar ve kılavuzlar yayımlayabilir.</w:t>
      </w:r>
      <w:bookmarkEnd w:id="21"/>
    </w:p>
    <w:p>
      <w:pPr>
        <w:pStyle w:val="LegalList"/>
      </w:pPr>
      <w:r>
        <w:rPr>
          <w:rFonts w:ascii="Avenir Light" w:hAnsi="Avenir Light" w:eastAsia="Avenir Light" w:cs="Avenir Light"/>
          <w:b w:val="0"/>
          <w:i w:val="0"/>
          <w:color w:val="172126"/>
          <w:sz w:val="19"/>
        </w:rPr>
        <w:t>(2) Birinci fıkrada bahsedilen basitleştirilmiş izleme planının onayından önce, Bakanlık, teklif edilen kontrol faaliyetlerinin ve kontrol faaliyetleri için teklif edilen prosedürlerin dâhili riskler ve tanımlanmış kontrol riskleri ile orantılı olup olmadıklarını değerlendirmek için işletmeden basit bir risk değerlendirmesi yürütmesini talep edebilir.</w:t>
      </w:r>
    </w:p>
    <w:p>
      <w:pPr>
        <w:pStyle w:val="ArticleTitle"/>
      </w:pPr>
      <w:r>
        <w:rPr>
          <w:rFonts w:ascii="Avenir Light" w:hAnsi="Avenir Light" w:eastAsia="Avenir Light" w:cs="Avenir Light"/>
          <w:b w:val="0"/>
          <w:i w:val="0"/>
          <w:color w:val="0D5F31"/>
          <w:sz w:val="21"/>
        </w:rPr>
        <w:t>İzleme planında değişiklikler</w:t>
      </w:r>
    </w:p>
    <w:p>
      <w:bookmarkStart w:id="22" w:name="madde_13"/>
      <w:pPr>
        <w:pStyle w:val="ArticleText"/>
      </w:pPr>
      <w:r>
        <w:rPr>
          <w:rFonts w:ascii="Avenir Light" w:hAnsi="Avenir Light" w:eastAsia="Avenir Light" w:cs="Avenir Light"/>
          <w:b w:val="0"/>
          <w:i w:val="0"/>
          <w:color w:val="172126"/>
          <w:sz w:val="19"/>
        </w:rPr>
        <w:t>MADDE 13 – (1) İşletme, izleme planında tesis tipi ve işleyişi ile izleme yöntemine ilişkin bilgilerin tam ve güncel olup olmadığını düzenli olarak kontrol eder.</w:t>
      </w:r>
      <w:bookmarkEnd w:id="22"/>
    </w:p>
    <w:p>
      <w:pPr>
        <w:pStyle w:val="LegalList"/>
      </w:pPr>
      <w:r>
        <w:rPr>
          <w:rFonts w:ascii="Avenir Light" w:hAnsi="Avenir Light" w:eastAsia="Avenir Light" w:cs="Avenir Light"/>
          <w:b w:val="0"/>
          <w:i w:val="0"/>
          <w:color w:val="172126"/>
          <w:sz w:val="19"/>
        </w:rPr>
        <w:t>(2) (Değişik:RG-5/2/2021-31386) İşletme, aşağıda belirtilen herhangi bir durumun ortaya çıkması halinde izleme planını günceller:</w:t>
      </w:r>
    </w:p>
    <w:p>
      <w:pPr>
        <w:pStyle w:val="LegalList"/>
      </w:pPr>
      <w:r>
        <w:rPr>
          <w:rFonts w:ascii="Avenir Light" w:hAnsi="Avenir Light" w:eastAsia="Avenir Light" w:cs="Avenir Light"/>
          <w:b w:val="0"/>
          <w:i w:val="0"/>
          <w:color w:val="172126"/>
          <w:sz w:val="19"/>
        </w:rPr>
        <w:t>a) Emisyonların belirlenmesinde daha yüksek doğruluğu sağlamak üzere, yeni tip ölçüm cihazlarının, örnekleme ve analiz yöntemlerinin kullanımına veya diğer sebeplere bağlı olarak verilerin elde edilme şeklinin değişmesi.</w:t>
      </w:r>
    </w:p>
    <w:p>
      <w:pPr>
        <w:pStyle w:val="LegalList"/>
      </w:pPr>
      <w:r>
        <w:rPr>
          <w:rFonts w:ascii="Avenir Light" w:hAnsi="Avenir Light" w:eastAsia="Avenir Light" w:cs="Avenir Light"/>
          <w:b w:val="0"/>
          <w:i w:val="0"/>
          <w:color w:val="172126"/>
          <w:sz w:val="19"/>
        </w:rPr>
        <w:t>b) Daha önce uygulanmış izleme yöntemi ile elde edilen verinin yanlış olduğunun tespit edilmesi.</w:t>
      </w:r>
    </w:p>
    <w:p>
      <w:pPr>
        <w:pStyle w:val="LegalList"/>
      </w:pPr>
      <w:r>
        <w:rPr>
          <w:rFonts w:ascii="Avenir Light" w:hAnsi="Avenir Light" w:eastAsia="Avenir Light" w:cs="Avenir Light"/>
          <w:b w:val="0"/>
          <w:i w:val="0"/>
          <w:color w:val="172126"/>
          <w:sz w:val="19"/>
        </w:rPr>
        <w:t>c) Raporlanmış verinin doğruluğunun artması.</w:t>
      </w:r>
    </w:p>
    <w:p>
      <w:pPr>
        <w:pStyle w:val="LegalList"/>
      </w:pPr>
      <w:r>
        <w:rPr>
          <w:rFonts w:ascii="Avenir Light" w:hAnsi="Avenir Light" w:eastAsia="Avenir Light" w:cs="Avenir Light"/>
          <w:b w:val="0"/>
          <w:i w:val="0"/>
          <w:color w:val="172126"/>
          <w:sz w:val="19"/>
        </w:rPr>
        <w:t>ç) Doğrulama raporunda izleme planının geliştirilmesine yönelik önerilere bağlı olarak değişiklik gerekmesi.</w:t>
      </w:r>
    </w:p>
    <w:p>
      <w:pPr>
        <w:pStyle w:val="LegalList"/>
      </w:pPr>
      <w:r>
        <w:rPr>
          <w:rFonts w:ascii="Avenir Light" w:hAnsi="Avenir Light" w:eastAsia="Avenir Light" w:cs="Avenir Light"/>
          <w:b w:val="0"/>
          <w:i w:val="0"/>
          <w:color w:val="172126"/>
          <w:sz w:val="19"/>
        </w:rPr>
        <w:t>d) İzleme planında yer alan hesaplama faktörü için varsayılan değerde değişiklik olması.</w:t>
      </w:r>
    </w:p>
    <w:p>
      <w:pPr>
        <w:pStyle w:val="LegalList"/>
      </w:pPr>
      <w:r>
        <w:rPr>
          <w:rFonts w:ascii="Avenir Light" w:hAnsi="Avenir Light" w:eastAsia="Avenir Light" w:cs="Avenir Light"/>
          <w:b w:val="0"/>
          <w:i w:val="0"/>
          <w:color w:val="172126"/>
          <w:sz w:val="19"/>
        </w:rPr>
        <w:t>e) Önemsiz kaynak akışlarının eklenmesi.</w:t>
      </w:r>
    </w:p>
    <w:p>
      <w:pPr>
        <w:pStyle w:val="LegalList"/>
      </w:pPr>
      <w:r>
        <w:rPr>
          <w:rFonts w:ascii="Avenir Light" w:hAnsi="Avenir Light" w:eastAsia="Avenir Light" w:cs="Avenir Light"/>
          <w:b w:val="0"/>
          <w:i w:val="0"/>
          <w:color w:val="172126"/>
          <w:sz w:val="19"/>
        </w:rPr>
        <w:t>(3) (Ek:RG-5/2/2021-31386) Yapılan değişiklik toplam emisyon miktarına %5’ten daha az oranda etki ediyor ise Bakanlığın onayı gerekmeksizin izleme planını 30 gün içerisinde elektronik sistem üzerinden günceller.</w:t>
      </w:r>
    </w:p>
    <w:p>
      <w:pPr>
        <w:pStyle w:val="ArticleTitle"/>
      </w:pPr>
      <w:r>
        <w:rPr>
          <w:rFonts w:ascii="Avenir Light" w:hAnsi="Avenir Light" w:eastAsia="Avenir Light" w:cs="Avenir Light"/>
          <w:b w:val="0"/>
          <w:i w:val="0"/>
          <w:color w:val="0D5F31"/>
          <w:sz w:val="21"/>
        </w:rPr>
        <w:t>İzleme planı değişikliklerinin onaylanması</w:t>
      </w:r>
    </w:p>
    <w:p>
      <w:bookmarkStart w:id="23" w:name="madde_14"/>
      <w:pPr>
        <w:pStyle w:val="ArticleText"/>
      </w:pPr>
      <w:r>
        <w:rPr>
          <w:rFonts w:ascii="Avenir Light" w:hAnsi="Avenir Light" w:eastAsia="Avenir Light" w:cs="Avenir Light"/>
          <w:b w:val="0"/>
          <w:i w:val="0"/>
          <w:color w:val="172126"/>
          <w:sz w:val="19"/>
        </w:rPr>
        <w:t>MADDE 14 –(Değişik:RG-5/2/2021-31386)</w:t>
      </w:r>
      <w:bookmarkEnd w:id="23"/>
    </w:p>
    <w:p>
      <w:pPr>
        <w:pStyle w:val="LegalList"/>
      </w:pPr>
      <w:r>
        <w:rPr>
          <w:rFonts w:ascii="Avenir Light" w:hAnsi="Avenir Light" w:eastAsia="Avenir Light" w:cs="Avenir Light"/>
          <w:b w:val="0"/>
          <w:i w:val="0"/>
          <w:color w:val="172126"/>
          <w:sz w:val="19"/>
        </w:rPr>
        <w:t>(1) Bu maddenin ikinci fıkrası kapsamında izleme planındaki herhangi bir önemli değişiklik Bakanlığın onayına tabidir. Bu değişiklikler en geç 30 gün içerisinde Bakanlığa bildirilir. Bakanlık bildirim tarihinden itibaren 60 gün içerisinde İzleme Planını değerlendirir.</w:t>
      </w:r>
    </w:p>
    <w:p>
      <w:pPr>
        <w:pStyle w:val="LegalList"/>
      </w:pPr>
      <w:r>
        <w:rPr>
          <w:rFonts w:ascii="Avenir Light" w:hAnsi="Avenir Light" w:eastAsia="Avenir Light" w:cs="Avenir Light"/>
          <w:b w:val="0"/>
          <w:i w:val="0"/>
          <w:color w:val="172126"/>
          <w:sz w:val="19"/>
        </w:rPr>
        <w:t>(2) İzleme planındaki önemli değişiklikler aşağıdaki hususları içerir:</w:t>
      </w:r>
    </w:p>
    <w:p>
      <w:pPr>
        <w:pStyle w:val="LegalList"/>
      </w:pPr>
      <w:r>
        <w:rPr>
          <w:rFonts w:ascii="Avenir Light" w:hAnsi="Avenir Light" w:eastAsia="Avenir Light" w:cs="Avenir Light"/>
          <w:b w:val="0"/>
          <w:i w:val="0"/>
          <w:color w:val="172126"/>
          <w:sz w:val="19"/>
        </w:rPr>
        <w:t>a) Yeni faaliyetler nedeniyle veya izleme planına henüz dahil edilmemiş ve toplam emisyon miktarına %5’ten daha yüksek oranda etki eden yeni yakıtların veya malzemelerin kullanımı ile yeni emisyonların oluşması.</w:t>
      </w:r>
    </w:p>
    <w:p>
      <w:pPr>
        <w:pStyle w:val="LegalList"/>
      </w:pPr>
      <w:r>
        <w:rPr>
          <w:rFonts w:ascii="Avenir Light" w:hAnsi="Avenir Light" w:eastAsia="Avenir Light" w:cs="Avenir Light"/>
          <w:b w:val="0"/>
          <w:i w:val="0"/>
          <w:color w:val="172126"/>
          <w:sz w:val="19"/>
        </w:rPr>
        <w:t>b) İzleme planının, Yönetmeliğin ve bu Tebliğin gereksinimleri ile uyumlu olmaması halinde Bakanlığın işletmeden izleme planını değiştirmesini talep etmesi.</w:t>
      </w:r>
    </w:p>
    <w:p>
      <w:pPr>
        <w:pStyle w:val="LegalList"/>
      </w:pPr>
      <w:r>
        <w:rPr>
          <w:rFonts w:ascii="Avenir Light" w:hAnsi="Avenir Light" w:eastAsia="Avenir Light" w:cs="Avenir Light"/>
          <w:b w:val="0"/>
          <w:i w:val="0"/>
          <w:color w:val="172126"/>
          <w:sz w:val="19"/>
        </w:rPr>
        <w:t xml:space="preserve">c) İzleme yönteminde veya Sera Gazı Emisyon Raporlarının Doğrulanması ve Doğrulayıcı Kuruluşların Akreditasyonu Tebliğinin </w:t>
      </w:r>
      <w:hyperlink w:anchor="madde_21" w:history="1">
        <w:r>
          <w:rPr>
            <w:rFonts w:ascii="Avenir Light" w:hAnsi="Avenir Light" w:eastAsia="Avenir Light" w:cs="Avenir Light"/>
            <w:color w:val="188A42"/>
            <w:sz w:val="19"/>
            <w:szCs w:val="19"/>
          </w:rPr>
          <w:t xml:space="preserve">21 inci madde</w:t>
        </w:r>
      </w:hyperlink>
      <w:r>
        <w:rPr>
          <w:rFonts w:ascii="Avenir Light" w:hAnsi="Avenir Light" w:eastAsia="Avenir Light" w:cs="Avenir Light"/>
          <w:b w:val="0"/>
          <w:i w:val="0"/>
          <w:color w:val="172126"/>
          <w:sz w:val="19"/>
        </w:rPr>
        <w:t>si gereğince önemlilik seviyesinde farklılığa neden olacak şekilde tesis kategorisinde değişiklikler olması.</w:t>
      </w:r>
    </w:p>
    <w:p>
      <w:pPr>
        <w:pStyle w:val="LegalList"/>
      </w:pPr>
      <w:r>
        <w:rPr>
          <w:rFonts w:ascii="Avenir Light" w:hAnsi="Avenir Light" w:eastAsia="Avenir Light" w:cs="Avenir Light"/>
          <w:b w:val="0"/>
          <w:i w:val="0"/>
          <w:color w:val="172126"/>
          <w:sz w:val="19"/>
        </w:rPr>
        <w:t>ç) İşletmenin, düşük emisyonlu tesis olarak değerlendirilmesi ile ilgili değişiklikler olması.</w:t>
      </w:r>
    </w:p>
    <w:p>
      <w:pPr>
        <w:pStyle w:val="LegalList"/>
      </w:pPr>
      <w:r>
        <w:rPr>
          <w:rFonts w:ascii="Avenir Light" w:hAnsi="Avenir Light" w:eastAsia="Avenir Light" w:cs="Avenir Light"/>
          <w:b w:val="0"/>
          <w:i w:val="0"/>
          <w:color w:val="172126"/>
          <w:sz w:val="19"/>
        </w:rPr>
        <w:t>d) Emisyon kaynaklarında değişiklikler olması.</w:t>
      </w:r>
    </w:p>
    <w:p>
      <w:pPr>
        <w:pStyle w:val="LegalList"/>
      </w:pPr>
      <w:r>
        <w:rPr>
          <w:rFonts w:ascii="Avenir Light" w:hAnsi="Avenir Light" w:eastAsia="Avenir Light" w:cs="Avenir Light"/>
          <w:b w:val="0"/>
          <w:i w:val="0"/>
          <w:color w:val="172126"/>
          <w:sz w:val="19"/>
        </w:rPr>
        <w:t>e) Emisyonları hesaplamak için kullanılan yöntemlerde değişiklik olması.</w:t>
      </w:r>
    </w:p>
    <w:p>
      <w:pPr>
        <w:pStyle w:val="LegalList"/>
      </w:pPr>
      <w:r>
        <w:rPr>
          <w:rFonts w:ascii="Avenir Light" w:hAnsi="Avenir Light" w:eastAsia="Avenir Light" w:cs="Avenir Light"/>
          <w:b w:val="0"/>
          <w:i w:val="0"/>
          <w:color w:val="172126"/>
          <w:sz w:val="19"/>
        </w:rPr>
        <w:t>f) Uygulanan kademede değişiklik olması.</w:t>
      </w:r>
    </w:p>
    <w:p>
      <w:pPr>
        <w:pStyle w:val="LegalList"/>
      </w:pPr>
      <w:r>
        <w:rPr>
          <w:rFonts w:ascii="Avenir Light" w:hAnsi="Avenir Light" w:eastAsia="Avenir Light" w:cs="Avenir Light"/>
          <w:b w:val="0"/>
          <w:i w:val="0"/>
          <w:color w:val="172126"/>
          <w:sz w:val="19"/>
        </w:rPr>
        <w:t>g) Büyük ve küçük kaynak akışlarının eklenmesi.</w:t>
      </w:r>
    </w:p>
    <w:p>
      <w:pPr>
        <w:pStyle w:val="LegalList"/>
      </w:pPr>
      <w:r>
        <w:rPr>
          <w:rFonts w:ascii="Avenir Light" w:hAnsi="Avenir Light" w:eastAsia="Avenir Light" w:cs="Avenir Light"/>
          <w:b w:val="0"/>
          <w:i w:val="0"/>
          <w:color w:val="172126"/>
          <w:sz w:val="19"/>
        </w:rPr>
        <w:t>ğ) İzleme yönteminde değişikliğe neden olacak şekilde, mevcut büyük, küçük veya önemsiz kaynak akışları sınıflandırmasında değişiklik olması.</w:t>
      </w:r>
    </w:p>
    <w:p>
      <w:pPr>
        <w:pStyle w:val="LegalList"/>
      </w:pPr>
      <w:r>
        <w:rPr>
          <w:rFonts w:ascii="Avenir Light" w:hAnsi="Avenir Light" w:eastAsia="Avenir Light" w:cs="Avenir Light"/>
          <w:b w:val="0"/>
          <w:i w:val="0"/>
          <w:color w:val="172126"/>
          <w:sz w:val="19"/>
        </w:rPr>
        <w:t>h) Emisyon verileri üzerinde doğrudan bir etkisi olan yeni yöntemlerin kullanılması veya örnekleme, analiz, kalibrasyona yönelik yöntemlerde değişiklik olması.</w:t>
      </w:r>
    </w:p>
    <w:p>
      <w:pPr>
        <w:pStyle w:val="ArticleTitle"/>
      </w:pPr>
      <w:r>
        <w:rPr>
          <w:rFonts w:ascii="Avenir Light" w:hAnsi="Avenir Light" w:eastAsia="Avenir Light" w:cs="Avenir Light"/>
          <w:b w:val="0"/>
          <w:i w:val="0"/>
          <w:color w:val="0D5F31"/>
          <w:sz w:val="21"/>
        </w:rPr>
        <w:t>Değişikliklerin uygulanması ve kayıtlarının tutulması</w:t>
      </w:r>
    </w:p>
    <w:p>
      <w:bookmarkStart w:id="24" w:name="madde_15"/>
      <w:pPr>
        <w:pStyle w:val="ArticleText"/>
      </w:pPr>
      <w:r>
        <w:rPr>
          <w:rFonts w:ascii="Avenir Light" w:hAnsi="Avenir Light" w:eastAsia="Avenir Light" w:cs="Avenir Light"/>
          <w:b w:val="0"/>
          <w:i w:val="0"/>
          <w:color w:val="172126"/>
          <w:sz w:val="19"/>
        </w:rPr>
        <w:t xml:space="preserve">MADDE 15 – (1) (Değişik:RG-5/2/2021-31386) İşletme, </w:t>
      </w:r>
      <w:hyperlink w:anchor="madde_14" w:history="1">
        <w:r>
          <w:rPr>
            <w:rFonts w:ascii="Avenir Light" w:hAnsi="Avenir Light" w:eastAsia="Avenir Light" w:cs="Avenir Light"/>
            <w:color w:val="188A42"/>
            <w:sz w:val="19"/>
            <w:szCs w:val="19"/>
          </w:rPr>
          <w:t xml:space="preserve">14 üncü madde</w:t>
        </w:r>
      </w:hyperlink>
      <w:r>
        <w:rPr>
          <w:rFonts w:ascii="Avenir Light" w:hAnsi="Avenir Light" w:eastAsia="Avenir Light" w:cs="Avenir Light"/>
          <w:b w:val="0"/>
          <w:i w:val="0"/>
          <w:color w:val="172126"/>
          <w:sz w:val="19"/>
        </w:rPr>
        <w:t>nin birinci fıkrası kapsamındaki onayın alınmasından önce, orijinal izleme planına uygun izlemenin eksik emisyon verisine sebep olacağı hallerde değiştirilmiş izleme planını kullanarak izleme ve raporlamayı yapar. İşletme bütün izleme ve raporlamayı, hem güncellenmiş hem de orijinal planı kullanarak, gerekli tüm bilgi ve belgelerle beraber eş zamanlı yürütür.</w:t>
      </w:r>
      <w:bookmarkEnd w:id="24"/>
    </w:p>
    <w:p>
      <w:pPr>
        <w:pStyle w:val="LegalList"/>
      </w:pPr>
      <w:r>
        <w:rPr>
          <w:rFonts w:ascii="Avenir Light" w:hAnsi="Avenir Light" w:eastAsia="Avenir Light" w:cs="Avenir Light"/>
          <w:b w:val="0"/>
          <w:i w:val="0"/>
          <w:color w:val="172126"/>
          <w:sz w:val="19"/>
        </w:rPr>
        <w:t xml:space="preserve">(2) (Değişik:RG-5/2/2021-31386) </w:t>
      </w:r>
      <w:hyperlink w:anchor="madde_14" w:history="1">
        <w:r>
          <w:rPr>
            <w:rFonts w:ascii="Avenir Light" w:hAnsi="Avenir Light" w:eastAsia="Avenir Light" w:cs="Avenir Light"/>
            <w:color w:val="188A42"/>
            <w:sz w:val="19"/>
            <w:szCs w:val="19"/>
          </w:rPr>
          <w:t xml:space="preserve">14 üncü madde</w:t>
        </w:r>
      </w:hyperlink>
      <w:r>
        <w:rPr>
          <w:rFonts w:ascii="Avenir Light" w:hAnsi="Avenir Light" w:eastAsia="Avenir Light" w:cs="Avenir Light"/>
          <w:b w:val="0"/>
          <w:i w:val="0"/>
          <w:color w:val="172126"/>
          <w:sz w:val="19"/>
        </w:rPr>
        <w:t>nin birinci fıkrası kapsamındaki onayın alınmasından sonra, işletme geçerlilik tarihinden itibaren bu izleme planındaki veriyi kullanır ve buna göre bütün izlemeyi ve raporlamayı yürütür.</w:t>
      </w:r>
    </w:p>
    <w:p>
      <w:pPr>
        <w:pStyle w:val="LegalList"/>
      </w:pPr>
      <w:r>
        <w:rPr>
          <w:rFonts w:ascii="Avenir Light" w:hAnsi="Avenir Light" w:eastAsia="Avenir Light" w:cs="Avenir Light"/>
          <w:b w:val="0"/>
          <w:i w:val="0"/>
          <w:color w:val="172126"/>
          <w:sz w:val="19"/>
        </w:rPr>
        <w:t>(3) İşletme izleme planında yapılan bütün değişikliklerin kayıtlarını tutar. Her bir değişikliğe ilişkin kayıtta aşağıda yer alan hususlar belirtilir:</w:t>
      </w:r>
    </w:p>
    <w:p>
      <w:pPr>
        <w:pStyle w:val="LegalList"/>
      </w:pPr>
      <w:r>
        <w:rPr>
          <w:rFonts w:ascii="Avenir Light" w:hAnsi="Avenir Light" w:eastAsia="Avenir Light" w:cs="Avenir Light"/>
          <w:b w:val="0"/>
          <w:i w:val="0"/>
          <w:color w:val="172126"/>
          <w:sz w:val="19"/>
        </w:rPr>
        <w:t>a) Değişikliğin detaylı tanımı,</w:t>
      </w:r>
    </w:p>
    <w:p>
      <w:pPr>
        <w:pStyle w:val="LegalList"/>
      </w:pPr>
      <w:r>
        <w:rPr>
          <w:rFonts w:ascii="Avenir Light" w:hAnsi="Avenir Light" w:eastAsia="Avenir Light" w:cs="Avenir Light"/>
          <w:b w:val="0"/>
          <w:i w:val="0"/>
          <w:color w:val="172126"/>
          <w:sz w:val="19"/>
        </w:rPr>
        <w:t>b) Değişikliğin gerekçesi,</w:t>
      </w:r>
    </w:p>
    <w:p>
      <w:pPr>
        <w:pStyle w:val="LegalList"/>
      </w:pPr>
      <w:r>
        <w:rPr>
          <w:rFonts w:ascii="Avenir Light" w:hAnsi="Avenir Light" w:eastAsia="Avenir Light" w:cs="Avenir Light"/>
          <w:b w:val="0"/>
          <w:i w:val="0"/>
          <w:color w:val="172126"/>
          <w:sz w:val="19"/>
        </w:rPr>
        <w:t>c) Değişikliğin Bakanlığa bildirilme tarihi,</w:t>
      </w:r>
    </w:p>
    <w:p>
      <w:pPr>
        <w:pStyle w:val="LegalList"/>
      </w:pPr>
      <w:r>
        <w:rPr>
          <w:rFonts w:ascii="Avenir Light" w:hAnsi="Avenir Light" w:eastAsia="Avenir Light" w:cs="Avenir Light"/>
          <w:b w:val="0"/>
          <w:i w:val="0"/>
          <w:color w:val="172126"/>
          <w:sz w:val="19"/>
        </w:rPr>
        <w:t xml:space="preserve">ç) </w:t>
      </w:r>
      <w:hyperlink w:anchor="madde_14" w:history="1">
        <w:r>
          <w:rPr>
            <w:rFonts w:ascii="Avenir Light" w:hAnsi="Avenir Light" w:eastAsia="Avenir Light" w:cs="Avenir Light"/>
            <w:color w:val="188A42"/>
            <w:sz w:val="19"/>
            <w:szCs w:val="19"/>
          </w:rPr>
          <w:t xml:space="preserve">14 üncü madde</w:t>
        </w:r>
      </w:hyperlink>
      <w:r>
        <w:rPr>
          <w:rFonts w:ascii="Avenir Light" w:hAnsi="Avenir Light" w:eastAsia="Avenir Light" w:cs="Avenir Light"/>
          <w:b w:val="0"/>
          <w:i w:val="0"/>
          <w:color w:val="172126"/>
          <w:sz w:val="19"/>
        </w:rPr>
        <w:t xml:space="preserve"> kapsamındaki bildirimin Bakanlıkça onay tarihi,</w:t>
      </w:r>
    </w:p>
    <w:p>
      <w:pPr>
        <w:pStyle w:val="LegalList"/>
      </w:pPr>
      <w:r>
        <w:rPr>
          <w:rFonts w:ascii="Avenir Light" w:hAnsi="Avenir Light" w:eastAsia="Avenir Light" w:cs="Avenir Light"/>
          <w:b w:val="0"/>
          <w:i w:val="0"/>
          <w:color w:val="172126"/>
          <w:sz w:val="19"/>
        </w:rPr>
        <w:t>d) İkinci fıkraya uygun olarak, değiştirilmiş izleme planının uygulanmaya başlandığı tarih.</w:t>
      </w:r>
    </w:p>
    <w:p>
      <w:pPr>
        <w:pStyle w:val="ArticleTitle"/>
      </w:pPr>
      <w:r>
        <w:rPr>
          <w:rFonts w:ascii="Avenir Light" w:hAnsi="Avenir Light" w:eastAsia="Avenir Light" w:cs="Avenir Light"/>
          <w:b w:val="0"/>
          <w:i w:val="0"/>
          <w:color w:val="0D5F31"/>
          <w:sz w:val="21"/>
        </w:rPr>
        <w:t>Teknik olarak uygulanabilirlik ve makul olmayan maliyetler</w:t>
      </w:r>
    </w:p>
    <w:p>
      <w:bookmarkStart w:id="25" w:name="madde_16"/>
      <w:pPr>
        <w:pStyle w:val="ArticleText"/>
      </w:pPr>
      <w:r>
        <w:rPr>
          <w:rFonts w:ascii="Avenir Light" w:hAnsi="Avenir Light" w:eastAsia="Avenir Light" w:cs="Avenir Light"/>
          <w:b w:val="0"/>
          <w:i w:val="0"/>
          <w:color w:val="172126"/>
          <w:sz w:val="19"/>
        </w:rPr>
        <w:t>MADDE 16 – (Başlığı ile Birlikte Değişik:RG-5/2/2021-31386)</w:t>
      </w:r>
      <w:bookmarkEnd w:id="25"/>
    </w:p>
    <w:p>
      <w:pPr>
        <w:pStyle w:val="LegalList"/>
      </w:pPr>
      <w:r>
        <w:rPr>
          <w:rFonts w:ascii="Avenir Light" w:hAnsi="Avenir Light" w:eastAsia="Avenir Light" w:cs="Avenir Light"/>
          <w:b w:val="0"/>
          <w:i w:val="0"/>
          <w:color w:val="172126"/>
          <w:sz w:val="19"/>
        </w:rPr>
        <w:t>(1) İşletme, izleme yönteminin teknik olarak uygulanmasının mümkün olmadığı durumlarda teknik olarak uygulanabilirliğini, yeni yöntemin gereksinimlerini karşılayacak kapasiteye sahip olup olmadığını, yöntemin bu Tebliğin hükümleri kapsamında zamanında uygulandığını ve gerekli tekniklerin ve teknolojilerin uygunluğuna göre değerlendirir.</w:t>
      </w:r>
    </w:p>
    <w:p>
      <w:pPr>
        <w:pStyle w:val="LegalList"/>
      </w:pPr>
      <w:r>
        <w:rPr>
          <w:rFonts w:ascii="Avenir Light" w:hAnsi="Avenir Light" w:eastAsia="Avenir Light" w:cs="Avenir Light"/>
          <w:b w:val="0"/>
          <w:i w:val="0"/>
          <w:color w:val="172126"/>
          <w:sz w:val="19"/>
        </w:rPr>
        <w:t>(2) Alternatif bir yöntemin uygulandığı raporlama döneminde söz konusu değişikliğe ilişkin teknik ayrıntıları içeren belgeler tesis tarafından hazır bulundurulur. Teklif edilen alternatif yöntem Bakanlığın uygun görüşü alındıktan sonra işletme tarafından uygulanır. Doğrulama sırasında uygunluğunun değerlendirilmesi için tesis bu belgeleri doğrulayıcı kuruluşa sunar.</w:t>
      </w:r>
    </w:p>
    <w:p>
      <w:pPr>
        <w:pStyle w:val="LegalList"/>
      </w:pPr>
      <w:r>
        <w:rPr>
          <w:rFonts w:ascii="Avenir Light" w:hAnsi="Avenir Light" w:eastAsia="Avenir Light" w:cs="Avenir Light"/>
          <w:b w:val="0"/>
          <w:i w:val="0"/>
          <w:color w:val="172126"/>
          <w:sz w:val="19"/>
        </w:rPr>
        <w:t>(3) İşletme hesaplama faktörlerinin elde edilmesinde analize dayalı bir yöntemin uygulanmasının makul olmayan bir maliyete yol açacağını iddia ettiği durumlarda, 4 üncü ve 5 inci fıkraları hükümleri çerçevesinde değerlendirme yapar.</w:t>
      </w:r>
    </w:p>
    <w:p>
      <w:pPr>
        <w:pStyle w:val="LegalList"/>
      </w:pPr>
      <w:r>
        <w:rPr>
          <w:rFonts w:ascii="Avenir Light" w:hAnsi="Avenir Light" w:eastAsia="Avenir Light" w:cs="Avenir Light"/>
          <w:b w:val="0"/>
          <w:i w:val="0"/>
          <w:color w:val="172126"/>
          <w:sz w:val="19"/>
        </w:rPr>
        <w:t>(4) Bir izleme dönemi boyunca uygulanması gereken kademenin analiz maliyetlerinin tesisin bir yıllık asgari doğrulama maliyetinin 1,5 katından fazla olması makul olmayan maliyet olarak değerlendirilir.</w:t>
      </w:r>
    </w:p>
    <w:p>
      <w:pPr>
        <w:pStyle w:val="LegalList"/>
      </w:pPr>
      <w:r>
        <w:rPr>
          <w:rFonts w:ascii="Avenir Light" w:hAnsi="Avenir Light" w:eastAsia="Avenir Light" w:cs="Avenir Light"/>
          <w:b w:val="0"/>
          <w:i w:val="0"/>
          <w:color w:val="172126"/>
          <w:sz w:val="19"/>
        </w:rPr>
        <w:t xml:space="preserve">(5) Makul olmayan maliyet belirlenirken öncelikle Bakanlığın yayınlamış olduğu asgari analiz fiyatları baz alınarak, yoksa Türk Standartları Enstitüsünün ve/veya akredite uluslararası laboratuvarların asgari fiyatları baz alınmak suretiyle makul olmayan maliyet hesaplanır. Bu hesap yapılırken bu Tebliğin </w:t>
      </w:r>
      <w:hyperlink w:anchor="ek_6" w:history="1">
        <w:r>
          <w:rPr>
            <w:rFonts w:ascii="Avenir Light" w:hAnsi="Avenir Light" w:eastAsia="Avenir Light" w:cs="Avenir Light"/>
            <w:color w:val="188A42"/>
            <w:sz w:val="19"/>
            <w:szCs w:val="19"/>
          </w:rPr>
          <w:t xml:space="preserve">EK-6</w:t>
        </w:r>
      </w:hyperlink>
      <w:r>
        <w:rPr>
          <w:rFonts w:ascii="Avenir Light" w:hAnsi="Avenir Light" w:eastAsia="Avenir Light" w:cs="Avenir Light"/>
          <w:b w:val="0"/>
          <w:i w:val="0"/>
          <w:color w:val="172126"/>
          <w:sz w:val="19"/>
        </w:rPr>
        <w:t>’sında verilen asgari analiz sıklıkları esas alınır.</w:t>
      </w:r>
    </w:p>
    <w:p>
      <w:pPr>
        <w:pStyle w:val="PartLabel"/>
      </w:pPr>
      <w:r>
        <w:rPr>
          <w:rFonts w:ascii="Avenir Light" w:hAnsi="Avenir Light" w:eastAsia="Avenir Light" w:cs="Avenir Light"/>
          <w:b w:val="0"/>
          <w:i w:val="0"/>
          <w:color w:val="0D5F31"/>
          <w:sz w:val="26"/>
        </w:rPr>
        <w:t>DÖRDÜNCÜ BÖLÜM</w:t>
      </w:r>
    </w:p>
    <w:p>
      <w:pPr>
        <w:pStyle w:val="PartTitle"/>
      </w:pPr>
      <w:r>
        <w:rPr>
          <w:rFonts w:ascii="Avenir Light" w:hAnsi="Avenir Light" w:eastAsia="Avenir Light" w:cs="Avenir Light"/>
          <w:b w:val="0"/>
          <w:i w:val="0"/>
          <w:color w:val="172126"/>
          <w:sz w:val="22"/>
        </w:rPr>
        <w:t>Emisyonlarının İzlenmesine Dair Usul ve Esaslar</w:t>
      </w:r>
    </w:p>
    <w:p>
      <w:pPr>
        <w:pStyle w:val="ArticleTitle"/>
      </w:pPr>
      <w:r>
        <w:rPr>
          <w:rFonts w:ascii="Avenir Light" w:hAnsi="Avenir Light" w:eastAsia="Avenir Light" w:cs="Avenir Light"/>
          <w:b w:val="0"/>
          <w:i w:val="0"/>
          <w:color w:val="0D5F31"/>
          <w:sz w:val="21"/>
        </w:rPr>
        <w:t>Tesislerin, kaynak akışlarının ve emisyon kaynaklarının sınıflandırılması</w:t>
      </w:r>
    </w:p>
    <w:p>
      <w:bookmarkStart w:id="26" w:name="madde_17"/>
      <w:pPr>
        <w:pStyle w:val="ArticleText"/>
      </w:pPr>
      <w:r>
        <w:rPr>
          <w:rFonts w:ascii="Avenir Light" w:hAnsi="Avenir Light" w:eastAsia="Avenir Light" w:cs="Avenir Light"/>
          <w:b w:val="0"/>
          <w:i w:val="0"/>
          <w:color w:val="172126"/>
          <w:sz w:val="19"/>
        </w:rPr>
        <w:t>MADDE 17 – (Başlığı ile Birlikte Değişik:RG-5/2/2021-31386)</w:t>
      </w:r>
      <w:bookmarkEnd w:id="26"/>
    </w:p>
    <w:p>
      <w:pPr>
        <w:pStyle w:val="LegalList"/>
      </w:pPr>
      <w:r>
        <w:rPr>
          <w:rFonts w:ascii="Avenir Light" w:hAnsi="Avenir Light" w:eastAsia="Avenir Light" w:cs="Avenir Light"/>
          <w:b w:val="0"/>
          <w:i w:val="0"/>
          <w:color w:val="172126"/>
          <w:sz w:val="19"/>
        </w:rPr>
        <w:t>(1) Her bir işletme, emisyonların izlenmesi ve kademelere yönelik asgari gereksinimlerin belirlenmesi için ikinci fıkraya göre kendi tesisinin, geçerli olan durumlarda üçüncü fıkraya göre her bir kaynak akışının ve dördüncü fıkraya göre her bir emisyon kaynağının kategorisini belirler.</w:t>
      </w:r>
    </w:p>
    <w:p>
      <w:pPr>
        <w:pStyle w:val="LegalList"/>
      </w:pPr>
      <w:r>
        <w:rPr>
          <w:rFonts w:ascii="Avenir Light" w:hAnsi="Avenir Light" w:eastAsia="Avenir Light" w:cs="Avenir Light"/>
          <w:b w:val="0"/>
          <w:i w:val="0"/>
          <w:color w:val="172126"/>
          <w:sz w:val="19"/>
        </w:rPr>
        <w:t>(2) İşletme, her bir tesisini aşağıdaki kategorilere göre sınıflandırır:</w:t>
      </w:r>
    </w:p>
    <w:p>
      <w:pPr>
        <w:pStyle w:val="LegalList"/>
      </w:pPr>
      <w:r>
        <w:rPr>
          <w:rFonts w:ascii="Avenir Light" w:hAnsi="Avenir Light" w:eastAsia="Avenir Light" w:cs="Avenir Light"/>
          <w:b w:val="0"/>
          <w:i w:val="0"/>
          <w:color w:val="172126"/>
          <w:sz w:val="19"/>
        </w:rPr>
        <w:t>a) Kategori A: Biyokütleden kaynaklanan CO 2 hariç, transfer edilen CO 2 dahil, kurulu kapasitesine göre ihtiyatlı olarak hesaplanmış yıllık emisyonu 50.000 ton CO 2 (eşd)’ye eşit veya daha az olan tesis,</w:t>
      </w:r>
    </w:p>
    <w:p>
      <w:pPr>
        <w:pStyle w:val="LegalList"/>
      </w:pPr>
      <w:r>
        <w:rPr>
          <w:rFonts w:ascii="Avenir Light" w:hAnsi="Avenir Light" w:eastAsia="Avenir Light" w:cs="Avenir Light"/>
          <w:b w:val="0"/>
          <w:i w:val="0"/>
          <w:color w:val="172126"/>
          <w:sz w:val="19"/>
        </w:rPr>
        <w:t>b) Kategori B: Biyokütleden kaynaklanan CO 2 hariç, transfer edilen CO 2 dahil, kurulu kapasitesine göre ihtiyatlı olarak hesaplanmış yıllık emisyonu 50.000 ton CO 2 (eşd)’den fazla ve 500.000 ton CO 2 (eşd)’ye eşit veya daha az olan tesis,</w:t>
      </w:r>
    </w:p>
    <w:p>
      <w:pPr>
        <w:pStyle w:val="LegalList"/>
      </w:pPr>
      <w:r>
        <w:rPr>
          <w:rFonts w:ascii="Avenir Light" w:hAnsi="Avenir Light" w:eastAsia="Avenir Light" w:cs="Avenir Light"/>
          <w:b w:val="0"/>
          <w:i w:val="0"/>
          <w:color w:val="172126"/>
          <w:sz w:val="19"/>
        </w:rPr>
        <w:t>c) Kategori C: Biyokütleden kaynaklanan CO 2 hariç, transfer edilen CO 2 dahil, kurulu kapasitesine göre ihtiyatlı olarak hesaplanmış yıllık emisyonu 500.000 ton CO 2 (eşd)’den fazla olan tesis.</w:t>
      </w:r>
    </w:p>
    <w:p>
      <w:pPr>
        <w:pStyle w:val="LegalList"/>
      </w:pPr>
      <w:r>
        <w:rPr>
          <w:rFonts w:ascii="Avenir Light" w:hAnsi="Avenir Light" w:eastAsia="Avenir Light" w:cs="Avenir Light"/>
          <w:b w:val="0"/>
          <w:i w:val="0"/>
          <w:color w:val="172126"/>
          <w:sz w:val="19"/>
        </w:rPr>
        <w:t>(3) İşletme, her bir kaynak akışını aşağıdaki kategorilere göre sınıflandırır. İşletme, bu sınıflandırmayı her bir kaynak akışını, transfer edilen CO 2 ’i dahil ederek, hesaplama temelli yöntemler ile hesaplanan bütün kaynak akışlarının neden olduğu fosil CO 2 ve CO 2 (eşd) emisyonlarının ve ölçüm temelli yöntemler ile izlenen bütün emisyon kaynaklarından çıkan emisyonların mutlak değerlerinin toplamı ile karşılaştırarak yapar.</w:t>
      </w:r>
    </w:p>
    <w:p>
      <w:pPr>
        <w:pStyle w:val="LegalList"/>
      </w:pPr>
      <w:r>
        <w:rPr>
          <w:rFonts w:ascii="Avenir Light" w:hAnsi="Avenir Light" w:eastAsia="Avenir Light" w:cs="Avenir Light"/>
          <w:b w:val="0"/>
          <w:i w:val="0"/>
          <w:color w:val="172126"/>
          <w:sz w:val="19"/>
        </w:rPr>
        <w:t>a) Küçük Kaynak Akışı: Mutlak değer olarak hangisi daha yüksekse, işletme tarafından seçilen kaynak akışlarının emisyonlara olan katkısının toplamı yılda 5.000 ton fosil CO 2 ’den daha düşük veya yılda 100.000 ton toplam fosil CO 2 ’i aşmamak kaydıyla toplam emisyonların %10’undan daha düşük olması durumunda,</w:t>
      </w:r>
    </w:p>
    <w:p>
      <w:pPr>
        <w:pStyle w:val="LegalList"/>
      </w:pPr>
      <w:r>
        <w:rPr>
          <w:rFonts w:ascii="Avenir Light" w:hAnsi="Avenir Light" w:eastAsia="Avenir Light" w:cs="Avenir Light"/>
          <w:b w:val="0"/>
          <w:i w:val="0"/>
          <w:color w:val="172126"/>
          <w:sz w:val="19"/>
        </w:rPr>
        <w:t>b) Önemsiz Kaynak Akışı: Mutlak değer olarak hangisi daha yüksekse, işletme tarafından seçilen kaynak akışlarının emisyonlara olan katkısının toplamı yılda 1.000 ton fosil CO 2 ’den daha düşük veya yılda 20.000 ton toplam fosil CO 2 ’i aşmamak kaydıyla toplam emisyonların %2’sinden daha düşük olması durumunda,</w:t>
      </w:r>
    </w:p>
    <w:p>
      <w:pPr>
        <w:pStyle w:val="LegalList"/>
      </w:pPr>
      <w:r>
        <w:rPr>
          <w:rFonts w:ascii="Avenir Light" w:hAnsi="Avenir Light" w:eastAsia="Avenir Light" w:cs="Avenir Light"/>
          <w:b w:val="0"/>
          <w:i w:val="0"/>
          <w:color w:val="172126"/>
          <w:sz w:val="19"/>
        </w:rPr>
        <w:t>c) Büyük Kaynak Akışı: Kaynak akışlarının (a) ve (b) bentleri kapsamındaki kategoriler içinde sınıflandırılmadığı durumda.</w:t>
      </w:r>
    </w:p>
    <w:p>
      <w:pPr>
        <w:pStyle w:val="LegalList"/>
      </w:pPr>
      <w:r>
        <w:rPr>
          <w:rFonts w:ascii="Avenir Light" w:hAnsi="Avenir Light" w:eastAsia="Avenir Light" w:cs="Avenir Light"/>
          <w:b w:val="0"/>
          <w:i w:val="0"/>
          <w:color w:val="172126"/>
          <w:sz w:val="19"/>
        </w:rPr>
        <w:t>(4) İşletme, ölçüm temelli yöntemin uygulandığı her bir emisyon kaynağını aşağıdaki kategorilere göre sınıflandırır:</w:t>
      </w:r>
    </w:p>
    <w:p>
      <w:pPr>
        <w:pStyle w:val="LegalList"/>
      </w:pPr>
      <w:r>
        <w:rPr>
          <w:rFonts w:ascii="Avenir Light" w:hAnsi="Avenir Light" w:eastAsia="Avenir Light" w:cs="Avenir Light"/>
          <w:b w:val="0"/>
          <w:i w:val="0"/>
          <w:color w:val="172126"/>
          <w:sz w:val="19"/>
        </w:rPr>
        <w:t>a) Küçük Emisyon Kaynağı: Yılda 5000 ton fosil CO 2 (eşd) veya mutlak değer olarak hangisi daha yüksekse, yılda en fazla 100.000 fosil CO 2 (eşd) tona kadar, tesisin toplam emisyonlarının %10’undan az olan kaynak.</w:t>
      </w:r>
    </w:p>
    <w:p>
      <w:pPr>
        <w:pStyle w:val="LegalList"/>
      </w:pPr>
      <w:r>
        <w:rPr>
          <w:rFonts w:ascii="Avenir Light" w:hAnsi="Avenir Light" w:eastAsia="Avenir Light" w:cs="Avenir Light"/>
          <w:b w:val="0"/>
          <w:i w:val="0"/>
          <w:color w:val="172126"/>
          <w:sz w:val="19"/>
        </w:rPr>
        <w:t>b) Büyük Emisyon Kaynağı: Küçük emisyon kaynağı olarak tanımlanmamış kaynak.</w:t>
      </w:r>
    </w:p>
    <w:p>
      <w:pPr>
        <w:pStyle w:val="LegalList"/>
      </w:pPr>
      <w:r>
        <w:rPr>
          <w:rFonts w:ascii="Avenir Light" w:hAnsi="Avenir Light" w:eastAsia="Avenir Light" w:cs="Avenir Light"/>
          <w:b w:val="0"/>
          <w:i w:val="0"/>
          <w:color w:val="172126"/>
          <w:sz w:val="19"/>
        </w:rPr>
        <w:t>(5) Bu madde kapsamında yapılacak olan ihtiyatlı emisyon tahminlerinde, tesisin kapasite raporunda yer alan vardiya sayısı veya geçmiş 5 yıl içerisinde fiili olarak gerçekleştirilen en fazla vardiya sayısı, hangisi daha yüksek emisyonlara sebep oluyor ise dikkate alınır.</w:t>
      </w:r>
    </w:p>
    <w:p>
      <w:pPr>
        <w:pStyle w:val="ArticleTitle"/>
      </w:pPr>
      <w:r>
        <w:rPr>
          <w:rFonts w:ascii="Avenir Light" w:hAnsi="Avenir Light" w:eastAsia="Avenir Light" w:cs="Avenir Light"/>
          <w:b w:val="0"/>
          <w:i w:val="0"/>
          <w:color w:val="0D5F31"/>
          <w:sz w:val="21"/>
        </w:rPr>
        <w:t>İzleme sınırları</w:t>
      </w:r>
    </w:p>
    <w:p>
      <w:bookmarkStart w:id="27" w:name="madde_18"/>
      <w:pPr>
        <w:pStyle w:val="ArticleText"/>
      </w:pPr>
      <w:r>
        <w:rPr>
          <w:rFonts w:ascii="Avenir Light" w:hAnsi="Avenir Light" w:eastAsia="Avenir Light" w:cs="Avenir Light"/>
          <w:b w:val="0"/>
          <w:i w:val="0"/>
          <w:color w:val="172126"/>
          <w:sz w:val="19"/>
        </w:rPr>
        <w:t xml:space="preserve">MADDE 18 – (1) İşletme, tesisinin izleme sınırlarını tanımlar. İşletme, tesiste yürütülen ve Yönetmeliğin </w:t>
      </w:r>
      <w:hyperlink w:anchor="ek_1" w:history="1">
        <w:r>
          <w:rPr>
            <w:rFonts w:ascii="Avenir Light" w:hAnsi="Avenir Light" w:eastAsia="Avenir Light" w:cs="Avenir Light"/>
            <w:color w:val="188A42"/>
            <w:sz w:val="19"/>
            <w:szCs w:val="19"/>
          </w:rPr>
          <w:t xml:space="preserve">ek-1</w:t>
        </w:r>
      </w:hyperlink>
      <w:r>
        <w:rPr>
          <w:rFonts w:ascii="Avenir Light" w:hAnsi="Avenir Light" w:eastAsia="Avenir Light" w:cs="Avenir Light"/>
          <w:b w:val="0"/>
          <w:i w:val="0"/>
          <w:color w:val="172126"/>
          <w:sz w:val="19"/>
        </w:rPr>
        <w:t>’inde listelenen faaliyetlere ait emisyon kaynakları ve kaynak akışlarının sebep olduğu ilgili sera gazlarını izleme sınırına dahil eder. Ayrıca, raporlama dönemi süresince olağan faaliyetler ile birlikte devreye alma–devre dışı bırakma ve acil durumları içeren olağan dışı durumlardan kaynaklanan emisyonları da izleme sınırına dâhil eder. Taşıma amaçlı kullanılan hareketli makinalardan kaynaklanan emisyonlar hariç tutulur.</w:t>
      </w:r>
      <w:bookmarkEnd w:id="27"/>
    </w:p>
    <w:p>
      <w:pPr>
        <w:pStyle w:val="LegalList"/>
      </w:pPr>
      <w:r>
        <w:rPr>
          <w:rFonts w:ascii="Avenir Light" w:hAnsi="Avenir Light" w:eastAsia="Avenir Light" w:cs="Avenir Light"/>
          <w:b w:val="0"/>
          <w:i w:val="0"/>
          <w:color w:val="172126"/>
          <w:sz w:val="19"/>
        </w:rPr>
        <w:t xml:space="preserve">(2) İzleme ve raporlama süreci tanımlanırken, işletme </w:t>
      </w:r>
      <w:hyperlink w:anchor="ek_3" w:history="1">
        <w:r>
          <w:rPr>
            <w:rFonts w:ascii="Avenir Light" w:hAnsi="Avenir Light" w:eastAsia="Avenir Light" w:cs="Avenir Light"/>
            <w:color w:val="188A42"/>
            <w:sz w:val="19"/>
            <w:szCs w:val="19"/>
          </w:rPr>
          <w:t xml:space="preserve">ek-3</w:t>
        </w:r>
      </w:hyperlink>
      <w:r>
        <w:rPr>
          <w:rFonts w:ascii="Avenir Light" w:hAnsi="Avenir Light" w:eastAsia="Avenir Light" w:cs="Avenir Light"/>
          <w:b w:val="0"/>
          <w:i w:val="0"/>
          <w:color w:val="172126"/>
          <w:sz w:val="19"/>
        </w:rPr>
        <w:t>’te belirtilmiş olan sektörlere özgü hususları da dâhil eder.</w:t>
      </w:r>
    </w:p>
    <w:p>
      <w:pPr>
        <w:pStyle w:val="ArticleTitle"/>
      </w:pPr>
      <w:r>
        <w:rPr>
          <w:rFonts w:ascii="Avenir Light" w:hAnsi="Avenir Light" w:eastAsia="Avenir Light" w:cs="Avenir Light"/>
          <w:b w:val="0"/>
          <w:i w:val="0"/>
          <w:color w:val="0D5F31"/>
          <w:sz w:val="21"/>
        </w:rPr>
        <w:t>İzleme yöntemlerinin seçimi</w:t>
      </w:r>
    </w:p>
    <w:p>
      <w:bookmarkStart w:id="28" w:name="madde_19"/>
      <w:pPr>
        <w:pStyle w:val="ArticleText"/>
      </w:pPr>
      <w:r>
        <w:rPr>
          <w:rFonts w:ascii="Avenir Light" w:hAnsi="Avenir Light" w:eastAsia="Avenir Light" w:cs="Avenir Light"/>
          <w:b w:val="0"/>
          <w:i w:val="0"/>
          <w:color w:val="172126"/>
          <w:sz w:val="19"/>
        </w:rPr>
        <w:t xml:space="preserve">MADDE 19 – (1) Tesisin emisyonlarının izlenmesi için, işletme, bu Tebliğin hükümlerine uygun olarak, hesaplama veya ölçüm temelli yöntemi seçer. Hesaplama temelli yöntem; ölçüm sistemleri vasıtasıyla kaynak akışlarından elde edilen faaliyet verilerinin, laboratuvar analizlerinden elde edilen veya varsayılan ilave parametrelerin kullanılarak emisyonların belirlenmesi anlamına gelir. Bu yöntem, </w:t>
      </w:r>
      <w:hyperlink w:anchor="madde_22" w:history="1">
        <w:r>
          <w:rPr>
            <w:rFonts w:ascii="Avenir Light" w:hAnsi="Avenir Light" w:eastAsia="Avenir Light" w:cs="Avenir Light"/>
            <w:color w:val="188A42"/>
            <w:sz w:val="19"/>
            <w:szCs w:val="19"/>
          </w:rPr>
          <w:t xml:space="preserve">22 nci madde</w:t>
        </w:r>
      </w:hyperlink>
      <w:r>
        <w:rPr>
          <w:rFonts w:ascii="Avenir Light" w:hAnsi="Avenir Light" w:eastAsia="Avenir Light" w:cs="Avenir Light"/>
          <w:b w:val="0"/>
          <w:i w:val="0"/>
          <w:color w:val="172126"/>
          <w:sz w:val="19"/>
        </w:rPr>
        <w:t xml:space="preserve">de belirtilen standart yöntem veya </w:t>
      </w:r>
      <w:hyperlink w:anchor="madde_23" w:history="1">
        <w:r>
          <w:rPr>
            <w:rFonts w:ascii="Avenir Light" w:hAnsi="Avenir Light" w:eastAsia="Avenir Light" w:cs="Avenir Light"/>
            <w:color w:val="188A42"/>
            <w:sz w:val="19"/>
            <w:szCs w:val="19"/>
          </w:rPr>
          <w:t xml:space="preserve">23 üncü madde</w:t>
        </w:r>
      </w:hyperlink>
      <w:r>
        <w:rPr>
          <w:rFonts w:ascii="Avenir Light" w:hAnsi="Avenir Light" w:eastAsia="Avenir Light" w:cs="Avenir Light"/>
          <w:b w:val="0"/>
          <w:i w:val="0"/>
          <w:color w:val="172126"/>
          <w:sz w:val="19"/>
        </w:rPr>
        <w:t xml:space="preserve">de belirtilen kütle denge yöntemi ile uygulanabilir. Hesaplama temelli yöntemin uygulandığı durumda, işletme her bir kaynak akışı için standart veya kütle denge yöntemlerinden hangi yöntemi kullandığını ve </w:t>
      </w:r>
      <w:hyperlink w:anchor="ek_2" w:history="1">
        <w:r>
          <w:rPr>
            <w:rFonts w:ascii="Avenir Light" w:hAnsi="Avenir Light" w:eastAsia="Avenir Light" w:cs="Avenir Light"/>
            <w:color w:val="188A42"/>
            <w:sz w:val="19"/>
            <w:szCs w:val="19"/>
          </w:rPr>
          <w:t xml:space="preserve">ek-2</w:t>
        </w:r>
      </w:hyperlink>
      <w:r>
        <w:rPr>
          <w:rFonts w:ascii="Avenir Light" w:hAnsi="Avenir Light" w:eastAsia="Avenir Light" w:cs="Avenir Light"/>
          <w:b w:val="0"/>
          <w:i w:val="0"/>
          <w:color w:val="172126"/>
          <w:sz w:val="19"/>
        </w:rPr>
        <w:t>’ye uygun olarak hangi kademeleri kullandığını izleme planında belirtir. Ölçüm temelli yöntem; (Değişik ibare:RG-5/2/2021-</w:t>
      </w:r>
      <w:bookmarkEnd w:id="28"/>
    </w:p>
    <w:p>
      <w:pPr>
        <w:pStyle w:val="LegalList"/>
      </w:pPr>
      <w:r>
        <w:rPr>
          <w:rFonts w:ascii="Avenir Light" w:hAnsi="Avenir Light" w:eastAsia="Avenir Light" w:cs="Avenir Light"/>
          <w:b w:val="0"/>
          <w:i w:val="0"/>
          <w:color w:val="172126"/>
          <w:sz w:val="19"/>
        </w:rPr>
        <w:t>31386) CO 2 konsantrasyonunun ve transfer edilen gazların akışının ölçüldüğü ve tesisler arasında (Değişik ibare:RG-5/2/2021-31386) CO 2 transferinin izlendiği durumlar da dahil olmak üzere, baca gazında ve baca gazı akışında ilgili sera gazı konsantrasyonunun sürekli ölçülmesi ile emisyon kaynaklarından emisyonların belirlenmesi anlamına gelir.</w:t>
      </w:r>
    </w:p>
    <w:p>
      <w:pPr>
        <w:pStyle w:val="LegalList"/>
      </w:pPr>
      <w:r>
        <w:rPr>
          <w:rFonts w:ascii="Avenir Light" w:hAnsi="Avenir Light" w:eastAsia="Avenir Light" w:cs="Avenir Light"/>
          <w:b w:val="0"/>
          <w:i w:val="0"/>
          <w:color w:val="172126"/>
          <w:sz w:val="19"/>
        </w:rPr>
        <w:t>(2) İşletme, emisyon ile ilgili veri eksikliklerinin veya mükerrer sayımın oluşmasını önleyecek şekilde, tesise ait farklı emisyon kaynakları ve kaynak akışları için standart, kütle dengesi ve ölçüm temelli yöntemleri birleştirebilir.</w:t>
      </w:r>
    </w:p>
    <w:p>
      <w:pPr>
        <w:pStyle w:val="LegalList"/>
      </w:pPr>
      <w:r>
        <w:rPr>
          <w:rFonts w:ascii="Avenir Light" w:hAnsi="Avenir Light" w:eastAsia="Avenir Light" w:cs="Avenir Light"/>
          <w:b w:val="0"/>
          <w:i w:val="0"/>
          <w:color w:val="172126"/>
          <w:sz w:val="19"/>
        </w:rPr>
        <w:t xml:space="preserve">(3) İşletmenin ölçüm temelli bir yöntemi seçmediği durumda, </w:t>
      </w:r>
      <w:hyperlink w:anchor="ek_3" w:history="1">
        <w:r>
          <w:rPr>
            <w:rFonts w:ascii="Avenir Light" w:hAnsi="Avenir Light" w:eastAsia="Avenir Light" w:cs="Avenir Light"/>
            <w:color w:val="188A42"/>
            <w:sz w:val="19"/>
            <w:szCs w:val="19"/>
          </w:rPr>
          <w:t xml:space="preserve">ek-3</w:t>
        </w:r>
      </w:hyperlink>
      <w:r>
        <w:rPr>
          <w:rFonts w:ascii="Avenir Light" w:hAnsi="Avenir Light" w:eastAsia="Avenir Light" w:cs="Avenir Light"/>
          <w:b w:val="0"/>
          <w:i w:val="0"/>
          <w:color w:val="172126"/>
          <w:sz w:val="19"/>
        </w:rPr>
        <w:t>’ün ilgili bölümlerinde yer alan yöntemi seçer. İşletme, söz konusu yöntemin kullanılmasının teknik olarak elverişli olmadığı veya başka yöntemin emisyon verilerini daha yüksek doğruluğa ulaştırdığı durumlarda Bakanlığa başvurur. Bakanlığın uygun görüşü ile alternatif bir yöntem kullanılır.</w:t>
      </w:r>
    </w:p>
    <w:p>
      <w:pPr>
        <w:pStyle w:val="ArticleTitle"/>
      </w:pPr>
      <w:r>
        <w:rPr>
          <w:rFonts w:ascii="Avenir Light" w:hAnsi="Avenir Light" w:eastAsia="Avenir Light" w:cs="Avenir Light"/>
          <w:b w:val="0"/>
          <w:i w:val="0"/>
          <w:color w:val="0D5F31"/>
          <w:sz w:val="21"/>
        </w:rPr>
        <w:t>Asgari yöntem</w:t>
      </w:r>
    </w:p>
    <w:p>
      <w:bookmarkStart w:id="29" w:name="madde_20"/>
      <w:pPr>
        <w:pStyle w:val="ArticleText"/>
      </w:pPr>
      <w:r>
        <w:rPr>
          <w:rFonts w:ascii="Avenir Light" w:hAnsi="Avenir Light" w:eastAsia="Avenir Light" w:cs="Avenir Light"/>
          <w:b w:val="0"/>
          <w:i w:val="0"/>
          <w:color w:val="172126"/>
          <w:sz w:val="19"/>
        </w:rPr>
        <w:t xml:space="preserve">MADDE 20 – (1) </w:t>
      </w:r>
      <w:hyperlink w:anchor="madde_19" w:history="1">
        <w:r>
          <w:rPr>
            <w:rFonts w:ascii="Avenir Light" w:hAnsi="Avenir Light" w:eastAsia="Avenir Light" w:cs="Avenir Light"/>
            <w:color w:val="188A42"/>
            <w:sz w:val="19"/>
            <w:szCs w:val="19"/>
          </w:rPr>
          <w:t xml:space="preserve">19 uncu madde</w:t>
        </w:r>
      </w:hyperlink>
      <w:r>
        <w:rPr>
          <w:rFonts w:ascii="Avenir Light" w:hAnsi="Avenir Light" w:eastAsia="Avenir Light" w:cs="Avenir Light"/>
          <w:b w:val="0"/>
          <w:i w:val="0"/>
          <w:color w:val="172126"/>
          <w:sz w:val="19"/>
        </w:rPr>
        <w:t xml:space="preserve"> hükümlerinden farklı olarak, işletme, aşağıdaki bütün koşulların karşılanması şartı ile seçilmiş kaynak akışları veya emisyon kaynakları için kademelere dayanmayan bir izleme yöntemi olan asgari yöntemi de kullanabilir. Bu şartlar;</w:t>
      </w:r>
      <w:bookmarkEnd w:id="29"/>
    </w:p>
    <w:p>
      <w:pPr>
        <w:pStyle w:val="LegalList"/>
      </w:pPr>
      <w:r>
        <w:rPr>
          <w:rFonts w:ascii="Avenir Light" w:hAnsi="Avenir Light" w:eastAsia="Avenir Light" w:cs="Avenir Light"/>
          <w:b w:val="0"/>
          <w:i w:val="0"/>
          <w:color w:val="172126"/>
          <w:sz w:val="19"/>
        </w:rPr>
        <w:t>a) Hesaplama temelli yöntem altında bir veya daha fazla ana kaynak akışları veya küçük kaynak akışları için en az kademe 1’i uygulamanın ve aynı kaynak akışları ile ilgili olarak en az bir emisyon kaynağı için ölçüm temelli yöntemi uygulamanın teknik olarak uygun olmadığı,</w:t>
      </w:r>
    </w:p>
    <w:p>
      <w:pPr>
        <w:pStyle w:val="LegalList"/>
      </w:pPr>
      <w:r>
        <w:rPr>
          <w:rFonts w:ascii="Avenir Light" w:hAnsi="Avenir Light" w:eastAsia="Avenir Light" w:cs="Avenir Light"/>
          <w:b w:val="0"/>
          <w:i w:val="0"/>
          <w:color w:val="172126"/>
          <w:sz w:val="19"/>
        </w:rPr>
        <w:t>b) İşletme, ulusal veya uluslararası kabul görmüş eşdeğer standartlara uygun olarak yıllık emisyonların belirlenmesinde kullanılan bütün parametrelerin belirsizliklerini her yıl değerlendirip nitelediği ve sonuçları yıllık emisyon raporuna dahil ettiği,</w:t>
      </w:r>
    </w:p>
    <w:p>
      <w:pPr>
        <w:pStyle w:val="LegalList"/>
      </w:pPr>
      <w:r>
        <w:rPr>
          <w:rFonts w:ascii="Avenir Light" w:hAnsi="Avenir Light" w:eastAsia="Avenir Light" w:cs="Avenir Light"/>
          <w:b w:val="0"/>
          <w:i w:val="0"/>
          <w:color w:val="172126"/>
          <w:sz w:val="19"/>
        </w:rPr>
        <w:t>c) İşletmenin, söz konusu asgari yöntemi uygulayarak, bütün tesis için sera gazı emisyonlarının yıllık seviyesine ilişkin toplam belirsizlik eşiğinin kategori A tesisleri için %7,5’i, kategori B tesisleri için %5,0’ı ve kategori C tesisleri için %2,5’i aşmadığını gösterdiği, durumlardır.</w:t>
      </w:r>
    </w:p>
    <w:p>
      <w:pPr>
        <w:pStyle w:val="ArticleTitle"/>
      </w:pPr>
      <w:r>
        <w:rPr>
          <w:rFonts w:ascii="Avenir Light" w:hAnsi="Avenir Light" w:eastAsia="Avenir Light" w:cs="Avenir Light"/>
          <w:b w:val="0"/>
          <w:i w:val="0"/>
          <w:color w:val="0D5F31"/>
          <w:sz w:val="21"/>
        </w:rPr>
        <w:t>İzleme yöntemine ilişkin geçici değişiklikler</w:t>
      </w:r>
    </w:p>
    <w:p>
      <w:bookmarkStart w:id="30" w:name="madde_21"/>
      <w:pPr>
        <w:pStyle w:val="ArticleText"/>
      </w:pPr>
      <w:r>
        <w:rPr>
          <w:rFonts w:ascii="Avenir Light" w:hAnsi="Avenir Light" w:eastAsia="Avenir Light" w:cs="Avenir Light"/>
          <w:b w:val="0"/>
          <w:i w:val="0"/>
          <w:color w:val="172126"/>
          <w:sz w:val="19"/>
        </w:rPr>
        <w:t>MADDE 21 – (1) (Değişik:RG-5/2/2021-31386) Bakanlık tarafından onaylanmış izleme planının teknik sebepler nedeniyle geçici olarak uygulanamadığı durumda, işletme izleme planında onaylanmış kademenin uygulanmasına yönelik olarak koşullar düzelene kadar erişilebilir en yüksek kademeyi veya kademe uygulanamıyorsa asgari yöntemi uygular. İşletme, Bakanlığın onayladığı izleme planında belirtilen kademenin acil olarak yeniden uygulanması için gerekli bütün önlemleri alır.</w:t>
      </w:r>
      <w:bookmarkEnd w:id="30"/>
    </w:p>
    <w:p>
      <w:pPr>
        <w:pStyle w:val="LegalList"/>
      </w:pPr>
      <w:r>
        <w:rPr>
          <w:rFonts w:ascii="Avenir Light" w:hAnsi="Avenir Light" w:eastAsia="Avenir Light" w:cs="Avenir Light"/>
          <w:b w:val="0"/>
          <w:i w:val="0"/>
          <w:color w:val="172126"/>
          <w:sz w:val="19"/>
        </w:rPr>
        <w:t>(2) İşletme, aşağıda verilen bilgi ve belgeleri de içerecek şekilde birinci fıkra kapsamında yapılacak izleme yöntemindeki geçici değişiklikleri ivedilikle Bakanlığa bildirir:</w:t>
      </w:r>
    </w:p>
    <w:p>
      <w:pPr>
        <w:pStyle w:val="LegalList"/>
      </w:pPr>
      <w:r>
        <w:rPr>
          <w:rFonts w:ascii="Avenir Light" w:hAnsi="Avenir Light" w:eastAsia="Avenir Light" w:cs="Avenir Light"/>
          <w:b w:val="0"/>
          <w:i w:val="0"/>
          <w:color w:val="172126"/>
          <w:sz w:val="19"/>
        </w:rPr>
        <w:t>a) Kademeden sapmanın sebepleri,</w:t>
      </w:r>
    </w:p>
    <w:p>
      <w:pPr>
        <w:pStyle w:val="LegalList"/>
      </w:pPr>
      <w:r>
        <w:rPr>
          <w:rFonts w:ascii="Avenir Light" w:hAnsi="Avenir Light" w:eastAsia="Avenir Light" w:cs="Avenir Light"/>
          <w:b w:val="0"/>
          <w:i w:val="0"/>
          <w:color w:val="172126"/>
          <w:sz w:val="19"/>
        </w:rPr>
        <w:t>b) İzleme planında yer alan kademenin uygulanması için koşullar düzelene kadar emisyonların belirlenmesinde kullanılan geçici izleme yöntemine ilişkin detayları,</w:t>
      </w:r>
    </w:p>
    <w:p>
      <w:pPr>
        <w:pStyle w:val="LegalList"/>
      </w:pPr>
      <w:r>
        <w:rPr>
          <w:rFonts w:ascii="Avenir Light" w:hAnsi="Avenir Light" w:eastAsia="Avenir Light" w:cs="Avenir Light"/>
          <w:b w:val="0"/>
          <w:i w:val="0"/>
          <w:color w:val="172126"/>
          <w:sz w:val="19"/>
        </w:rPr>
        <w:t>c) Bakanlık tarafından onaylanan izleme planında yer alan kademenin uygulanmasına yönelik koşulların düzeltilmesi için alınan önlemleri,</w:t>
      </w:r>
    </w:p>
    <w:p>
      <w:pPr>
        <w:pStyle w:val="LegalList"/>
      </w:pPr>
      <w:r>
        <w:rPr>
          <w:rFonts w:ascii="Avenir Light" w:hAnsi="Avenir Light" w:eastAsia="Avenir Light" w:cs="Avenir Light"/>
          <w:b w:val="0"/>
          <w:i w:val="0"/>
          <w:color w:val="172126"/>
          <w:sz w:val="19"/>
        </w:rPr>
        <w:t>ç) Bakanlık tarafından onaylanan kademenin tekrar uygulanmasına ne zaman başlanacağına dair öngörülen zamanı.</w:t>
      </w:r>
    </w:p>
    <w:p>
      <w:pPr>
        <w:pStyle w:val="PartLabel"/>
      </w:pPr>
      <w:r>
        <w:rPr>
          <w:rFonts w:ascii="Avenir Light" w:hAnsi="Avenir Light" w:eastAsia="Avenir Light" w:cs="Avenir Light"/>
          <w:b w:val="0"/>
          <w:i w:val="0"/>
          <w:color w:val="0D5F31"/>
          <w:sz w:val="26"/>
        </w:rPr>
        <w:t>BEŞİNCİ BÖLÜM</w:t>
      </w:r>
    </w:p>
    <w:p>
      <w:pPr>
        <w:pStyle w:val="PartTitle"/>
      </w:pPr>
      <w:r>
        <w:rPr>
          <w:rFonts w:ascii="Avenir Light" w:hAnsi="Avenir Light" w:eastAsia="Avenir Light" w:cs="Avenir Light"/>
          <w:b w:val="0"/>
          <w:i w:val="0"/>
          <w:color w:val="172126"/>
          <w:sz w:val="22"/>
        </w:rPr>
        <w:t>Hesaplama Temelli Yöntem</w:t>
      </w:r>
    </w:p>
    <w:p>
      <w:pPr>
        <w:pStyle w:val="ArticleTitle"/>
      </w:pPr>
      <w:r>
        <w:rPr>
          <w:rFonts w:ascii="Avenir Light" w:hAnsi="Avenir Light" w:eastAsia="Avenir Light" w:cs="Avenir Light"/>
          <w:b w:val="0"/>
          <w:i w:val="0"/>
          <w:color w:val="0D5F31"/>
          <w:sz w:val="21"/>
        </w:rPr>
        <w:t>Emisyonların standart yöntemle hesaplanması</w:t>
      </w:r>
    </w:p>
    <w:p>
      <w:bookmarkStart w:id="31" w:name="madde_22"/>
      <w:pPr>
        <w:pStyle w:val="ArticleText"/>
      </w:pPr>
      <w:r>
        <w:rPr>
          <w:rFonts w:ascii="Avenir Light" w:hAnsi="Avenir Light" w:eastAsia="Avenir Light" w:cs="Avenir Light"/>
          <w:b w:val="0"/>
          <w:i w:val="0"/>
          <w:color w:val="172126"/>
          <w:sz w:val="19"/>
        </w:rPr>
        <w:t>MADDE 22 – (1) Standart yöntemde, işletme kaynak akışı başına yanma emisyonlarını, NKD’nin terajul olarak ifade edildiği yanan yakıt miktarı ile ilgili faaliyet verisini, NKD kullanımı ile tutarlı olan ve terajul başına ton (Değişik ibare:RG-5/2/2021-31386) CO 2 (t (Değişik ibare:RG-5/2/2021-31386) CO 2 /TJ) olarak ifade edilen ilgili emisyon faktörü ve ilgili yükseltgenme faktörü ile çarparak hesaplar. Bakanlık, yakıtlar için t (Değişik ibare:RG- 5/2/2021-31386) CO 2 /t veya t (Değişik ibare:RG-5/2/2021-31386) CO 2 /Nm3 olarak ifade edilen emisyon faktörlerinin kullanımına izin verebilir. Bu durumda işletme ton veya normal metre küp olarak ifade edilen yanan yakıt miktarına ilişkin faaliyet verisini, ilgili emisyon faktörü ve ilgili yükseltgenme faktörü ile çarparak yanma emisyonlarını hesaplar.</w:t>
      </w:r>
      <w:bookmarkEnd w:id="31"/>
    </w:p>
    <w:p>
      <w:pPr>
        <w:pStyle w:val="LegalList"/>
      </w:pPr>
      <w:r>
        <w:rPr>
          <w:rFonts w:ascii="Avenir Light" w:hAnsi="Avenir Light" w:eastAsia="Avenir Light" w:cs="Avenir Light"/>
          <w:b w:val="0"/>
          <w:i w:val="0"/>
          <w:color w:val="172126"/>
          <w:sz w:val="19"/>
        </w:rPr>
        <w:t>(2) İşletme kaynak akışı başına proses emisyonlarını ton veya normal metre küp olarak ifade edilen malzeme tüketimi, hammadde miktarı veya üretim çıktısı ile ilgili faaliyet verisini t (Değişik ibare:RG-5/2/2021-31386) CO 2 /t veya t (Değişik ibare:RG-5/2/2021-31386) CO 2 /Nm3 olarak ifade edilen ilgili emisyon faktörü ve ilgili dönüşüm faktörü ile çarparak belirler.</w:t>
      </w:r>
    </w:p>
    <w:p>
      <w:pPr>
        <w:pStyle w:val="LegalList"/>
      </w:pPr>
      <w:r>
        <w:rPr>
          <w:rFonts w:ascii="Avenir Light" w:hAnsi="Avenir Light" w:eastAsia="Avenir Light" w:cs="Avenir Light"/>
          <w:b w:val="0"/>
          <w:i w:val="0"/>
          <w:color w:val="172126"/>
          <w:sz w:val="19"/>
        </w:rPr>
        <w:t>(3) Kademe 1 veya kademe 2 emisyon faktörü, tamamlanmamış kimyasal reaksiyonların etkisini içerdiği durumlarda, yükseltgenme faktörü veya dönüşüm faktörü 1 kabul edilir.</w:t>
      </w:r>
    </w:p>
    <w:p>
      <w:pPr>
        <w:pStyle w:val="ArticleTitle"/>
      </w:pPr>
      <w:r>
        <w:rPr>
          <w:rFonts w:ascii="Avenir Light" w:hAnsi="Avenir Light" w:eastAsia="Avenir Light" w:cs="Avenir Light"/>
          <w:b w:val="0"/>
          <w:i w:val="0"/>
          <w:color w:val="0D5F31"/>
          <w:sz w:val="21"/>
        </w:rPr>
        <w:t>Emisyonların kütle denge yöntemiyle hesaplanması</w:t>
      </w:r>
    </w:p>
    <w:p>
      <w:bookmarkStart w:id="32" w:name="madde_23"/>
      <w:pPr>
        <w:pStyle w:val="ArticleText"/>
      </w:pPr>
      <w:r>
        <w:rPr>
          <w:rFonts w:ascii="Avenir Light" w:hAnsi="Avenir Light" w:eastAsia="Avenir Light" w:cs="Avenir Light"/>
          <w:b w:val="0"/>
          <w:i w:val="0"/>
          <w:color w:val="172126"/>
          <w:sz w:val="19"/>
        </w:rPr>
        <w:t xml:space="preserve">MADDE 23 – (1) (Değişik:RG-5/2/2021-31386) Kütle denge yönteminde, işletme, bu Tebliğin </w:t>
      </w:r>
      <w:hyperlink w:anchor="ek_2" w:history="1">
        <w:r>
          <w:rPr>
            <w:rFonts w:ascii="Avenir Light" w:hAnsi="Avenir Light" w:eastAsia="Avenir Light" w:cs="Avenir Light"/>
            <w:color w:val="188A42"/>
            <w:sz w:val="19"/>
            <w:szCs w:val="19"/>
          </w:rPr>
          <w:t xml:space="preserve">EK-2</w:t>
        </w:r>
      </w:hyperlink>
      <w:r>
        <w:rPr>
          <w:rFonts w:ascii="Avenir Light" w:hAnsi="Avenir Light" w:eastAsia="Avenir Light" w:cs="Avenir Light"/>
          <w:b w:val="0"/>
          <w:i w:val="0"/>
          <w:color w:val="172126"/>
          <w:sz w:val="19"/>
        </w:rPr>
        <w:t>’sinde üçüncü bölümde yer alan yöntemi uygulayarak kütle dengesinin sınırlarına giren veya kütle dengesi sınırlarını terk eden malzeme miktarı ile ilgili yakıtın veya malzemenin karbon içeriğinin dahil olduğu faaliyet verisini, malzemenin karbon içeriğini ve 3,664 tCO 2 /tC değerini çarparak kütle dengesinde yer alan her bir kaynak akışına karşılık gelen CO 2 miktarını hesaplar.</w:t>
      </w:r>
      <w:bookmarkEnd w:id="32"/>
    </w:p>
    <w:p>
      <w:pPr>
        <w:pStyle w:val="LegalList"/>
      </w:pPr>
      <w:r>
        <w:rPr>
          <w:rFonts w:ascii="Avenir Light" w:hAnsi="Avenir Light" w:eastAsia="Avenir Light" w:cs="Avenir Light"/>
          <w:b w:val="0"/>
          <w:i w:val="0"/>
          <w:color w:val="172126"/>
          <w:sz w:val="19"/>
        </w:rPr>
        <w:t xml:space="preserve">(2) </w:t>
      </w:r>
      <w:hyperlink w:anchor="madde_47" w:history="1">
        <w:r>
          <w:rPr>
            <w:rFonts w:ascii="Avenir Light" w:hAnsi="Avenir Light" w:eastAsia="Avenir Light" w:cs="Avenir Light"/>
            <w:color w:val="188A42"/>
            <w:sz w:val="19"/>
            <w:szCs w:val="19"/>
          </w:rPr>
          <w:t xml:space="preserve">47 nci madde</w:t>
        </w:r>
      </w:hyperlink>
      <w:r>
        <w:rPr>
          <w:rFonts w:ascii="Avenir Light" w:hAnsi="Avenir Light" w:eastAsia="Avenir Light" w:cs="Avenir Light"/>
          <w:b w:val="0"/>
          <w:i w:val="0"/>
          <w:color w:val="172126"/>
          <w:sz w:val="19"/>
        </w:rPr>
        <w:t xml:space="preserve"> hükümlerine bakılmaksızın, kütle dengesi kullanılarak hesaplanan toplam prosesin emisyonları, kütle dengesi tarafından kapsanan tüm kaynak akışlarına karşılık gelen (Değişik ibare:RG-5/2/2021-31386) CO 2 miktarlarının toplamıdır. Atmosfere salınan CO, (Değişik ibare:RG-5/2/2021-31386) CO 2 molar eşdeğer miktarı olarak kütle dengesinde hesaplanır.</w:t>
      </w:r>
    </w:p>
    <w:p>
      <w:pPr>
        <w:pStyle w:val="ArticleTitle"/>
      </w:pPr>
      <w:r>
        <w:rPr>
          <w:rFonts w:ascii="Avenir Light" w:hAnsi="Avenir Light" w:eastAsia="Avenir Light" w:cs="Avenir Light"/>
          <w:b w:val="0"/>
          <w:i w:val="0"/>
          <w:color w:val="0D5F31"/>
          <w:sz w:val="21"/>
        </w:rPr>
        <w:t>Uygulanabilir kademeler</w:t>
      </w:r>
    </w:p>
    <w:p>
      <w:bookmarkStart w:id="33" w:name="madde_24"/>
      <w:pPr>
        <w:pStyle w:val="ArticleText"/>
      </w:pPr>
      <w:r>
        <w:rPr>
          <w:rFonts w:ascii="Avenir Light" w:hAnsi="Avenir Light" w:eastAsia="Avenir Light" w:cs="Avenir Light"/>
          <w:b w:val="0"/>
          <w:i w:val="0"/>
          <w:color w:val="172126"/>
          <w:sz w:val="19"/>
        </w:rPr>
        <w:t xml:space="preserve">MADDE 24 – (1) Faaliyet verisini ve her bir hesaplama faktörünü belirlemek için, </w:t>
      </w:r>
      <w:hyperlink w:anchor="madde_19" w:history="1">
        <w:r>
          <w:rPr>
            <w:rFonts w:ascii="Avenir Light" w:hAnsi="Avenir Light" w:eastAsia="Avenir Light" w:cs="Avenir Light"/>
            <w:color w:val="188A42"/>
            <w:sz w:val="19"/>
            <w:szCs w:val="19"/>
          </w:rPr>
          <w:t xml:space="preserve">19 uncu madde</w:t>
        </w:r>
      </w:hyperlink>
      <w:r>
        <w:rPr>
          <w:rFonts w:ascii="Avenir Light" w:hAnsi="Avenir Light" w:eastAsia="Avenir Light" w:cs="Avenir Light"/>
          <w:b w:val="0"/>
          <w:i w:val="0"/>
          <w:color w:val="172126"/>
          <w:sz w:val="19"/>
        </w:rPr>
        <w:t>nin birinci fıkrasına göre gerekli kademeler tanımlanırken, işletme:</w:t>
      </w:r>
      <w:bookmarkEnd w:id="33"/>
    </w:p>
    <w:p>
      <w:pPr>
        <w:pStyle w:val="LegalList"/>
      </w:pPr>
      <w:r>
        <w:rPr>
          <w:rFonts w:ascii="Avenir Light" w:hAnsi="Avenir Light" w:eastAsia="Avenir Light" w:cs="Avenir Light"/>
          <w:b w:val="0"/>
          <w:i w:val="0"/>
          <w:color w:val="172126"/>
          <w:sz w:val="19"/>
        </w:rPr>
        <w:t xml:space="preserve">a) Kategori A tesisleri için ve kaynak akışının ticari standart yakıt olması halinde veya bir hesaplama faktörünün gerekli olduğu durumlarda </w:t>
      </w:r>
      <w:hyperlink w:anchor="ek_4" w:history="1">
        <w:r>
          <w:rPr>
            <w:rFonts w:ascii="Avenir Light" w:hAnsi="Avenir Light" w:eastAsia="Avenir Light" w:cs="Avenir Light"/>
            <w:color w:val="188A42"/>
            <w:sz w:val="19"/>
            <w:szCs w:val="19"/>
          </w:rPr>
          <w:t xml:space="preserve">ek-4</w:t>
        </w:r>
      </w:hyperlink>
      <w:r>
        <w:rPr>
          <w:rFonts w:ascii="Avenir Light" w:hAnsi="Avenir Light" w:eastAsia="Avenir Light" w:cs="Avenir Light"/>
          <w:b w:val="0"/>
          <w:i w:val="0"/>
          <w:color w:val="172126"/>
          <w:sz w:val="19"/>
        </w:rPr>
        <w:t>’te listelenen en düşük,</w:t>
      </w:r>
    </w:p>
    <w:p>
      <w:pPr>
        <w:pStyle w:val="LegalList"/>
      </w:pPr>
      <w:r>
        <w:rPr>
          <w:rFonts w:ascii="Avenir Light" w:hAnsi="Avenir Light" w:eastAsia="Avenir Light" w:cs="Avenir Light"/>
          <w:b w:val="0"/>
          <w:i w:val="0"/>
          <w:color w:val="172126"/>
          <w:sz w:val="19"/>
        </w:rPr>
        <w:t xml:space="preserve">b) (a) bendi dışındaki durumlarda ise </w:t>
      </w:r>
      <w:hyperlink w:anchor="ek_2" w:history="1">
        <w:r>
          <w:rPr>
            <w:rFonts w:ascii="Avenir Light" w:hAnsi="Avenir Light" w:eastAsia="Avenir Light" w:cs="Avenir Light"/>
            <w:color w:val="188A42"/>
            <w:sz w:val="19"/>
            <w:szCs w:val="19"/>
          </w:rPr>
          <w:t xml:space="preserve">ek-2</w:t>
        </w:r>
      </w:hyperlink>
      <w:r>
        <w:rPr>
          <w:rFonts w:ascii="Avenir Light" w:hAnsi="Avenir Light" w:eastAsia="Avenir Light" w:cs="Avenir Light"/>
          <w:b w:val="0"/>
          <w:i w:val="0"/>
          <w:color w:val="172126"/>
          <w:sz w:val="19"/>
        </w:rPr>
        <w:t>’de tanımlanan en yüksek, kademeleri uygular. Ancak, işletme (a) bendine göre uygulanması gereken kademenin teknik olarak uygun olmadığını Bakanlığa belgelemesi durumda, en düşük kademe 1 olmak koşuluyla, kategori C tesisleri için gerekenden bir seviye daha düşük kademeyi, kategori A ve B tesisleri için ise gerekenden en fazla iki seviye daha düşük kademeyi uygulayabilir. Ayrıca, Bakanlık işletmeye, (b) bendine göre uygulanması gereken kademeden daha düşük bir kademe uygulanmasına yönelik olarak, uygulanan kademenin en düşük kademe 1 olması ve aşağıdaki koşulların karşılanması şartı ile üç yıla kadar bir geçiş dönemi için izin verebilir:</w:t>
      </w:r>
    </w:p>
    <w:p>
      <w:pPr>
        <w:pStyle w:val="LegalList"/>
      </w:pPr>
      <w:r>
        <w:rPr>
          <w:rFonts w:ascii="Avenir Light" w:hAnsi="Avenir Light" w:eastAsia="Avenir Light" w:cs="Avenir Light"/>
          <w:b w:val="0"/>
          <w:i w:val="0"/>
          <w:color w:val="172126"/>
          <w:sz w:val="19"/>
        </w:rPr>
        <w:t>1) Uygulanması gereken kademenin teknik olarak elverişli olmadığının tespit edilmesi,</w:t>
      </w:r>
    </w:p>
    <w:p>
      <w:pPr>
        <w:pStyle w:val="LegalList"/>
      </w:pPr>
      <w:r>
        <w:rPr>
          <w:rFonts w:ascii="Avenir Light" w:hAnsi="Avenir Light" w:eastAsia="Avenir Light" w:cs="Avenir Light"/>
          <w:b w:val="0"/>
          <w:i w:val="0"/>
          <w:color w:val="172126"/>
          <w:sz w:val="19"/>
        </w:rPr>
        <w:t>2) Uygulanması gereken kademeye nasıl ve ne zaman erişilebileceği ile ilgili bir gelişim planının sunulması.</w:t>
      </w:r>
    </w:p>
    <w:p>
      <w:pPr>
        <w:pStyle w:val="LegalList"/>
      </w:pPr>
      <w:r>
        <w:rPr>
          <w:rFonts w:ascii="Avenir Light" w:hAnsi="Avenir Light" w:eastAsia="Avenir Light" w:cs="Avenir Light"/>
          <w:b w:val="0"/>
          <w:i w:val="0"/>
          <w:color w:val="172126"/>
          <w:sz w:val="19"/>
        </w:rPr>
        <w:t>(2) İşletme, küçük kaynak akışlarına ilişkin faaliyet verisi ve her bir hesaplama faktörü için, uygulanan kademenin en düşük kademe 1 olması koşuluyla, teknik olarak elverişli olan en yüksek kademeyi uygular.</w:t>
      </w:r>
    </w:p>
    <w:p>
      <w:pPr>
        <w:pStyle w:val="LegalList"/>
      </w:pPr>
      <w:r>
        <w:rPr>
          <w:rFonts w:ascii="Avenir Light" w:hAnsi="Avenir Light" w:eastAsia="Avenir Light" w:cs="Avenir Light"/>
          <w:b w:val="0"/>
          <w:i w:val="0"/>
          <w:color w:val="172126"/>
          <w:sz w:val="19"/>
        </w:rPr>
        <w:t>(3) İşletme, önemsiz kaynak akışlarına ilişkin faaliyet verisi ve her bir hesaplama faktörü için, ilave bir çaba olmadan herhangi bir kademeye ulaşamıyorsa, kademe kullanmak yerine ihtiyatlı tahminler yaparak faaliyet verisini ve her bir hesaplama faktörünü belirler.</w:t>
      </w:r>
    </w:p>
    <w:p>
      <w:pPr>
        <w:pStyle w:val="LegalList"/>
      </w:pPr>
      <w:r>
        <w:rPr>
          <w:rFonts w:ascii="Avenir Light" w:hAnsi="Avenir Light" w:eastAsia="Avenir Light" w:cs="Avenir Light"/>
          <w:b w:val="0"/>
          <w:i w:val="0"/>
          <w:color w:val="172126"/>
          <w:sz w:val="19"/>
        </w:rPr>
        <w:t xml:space="preserve">(4) Yükseltgenme faktörü ve dönüşüm faktörü için, işletme, asgari olarak, </w:t>
      </w:r>
      <w:hyperlink w:anchor="ek_2" w:history="1">
        <w:r>
          <w:rPr>
            <w:rFonts w:ascii="Avenir Light" w:hAnsi="Avenir Light" w:eastAsia="Avenir Light" w:cs="Avenir Light"/>
            <w:color w:val="188A42"/>
            <w:sz w:val="19"/>
            <w:szCs w:val="19"/>
          </w:rPr>
          <w:t xml:space="preserve">ek-2</w:t>
        </w:r>
      </w:hyperlink>
      <w:r>
        <w:rPr>
          <w:rFonts w:ascii="Avenir Light" w:hAnsi="Avenir Light" w:eastAsia="Avenir Light" w:cs="Avenir Light"/>
          <w:b w:val="0"/>
          <w:i w:val="0"/>
          <w:color w:val="172126"/>
          <w:sz w:val="19"/>
        </w:rPr>
        <w:t>’de listelenen en düşük kademeleri uygular.</w:t>
      </w:r>
    </w:p>
    <w:p>
      <w:pPr>
        <w:pStyle w:val="LegalList"/>
      </w:pPr>
      <w:r>
        <w:rPr>
          <w:rFonts w:ascii="Avenir Light" w:hAnsi="Avenir Light" w:eastAsia="Avenir Light" w:cs="Avenir Light"/>
          <w:b w:val="0"/>
          <w:i w:val="0"/>
          <w:color w:val="172126"/>
          <w:sz w:val="19"/>
        </w:rPr>
        <w:t xml:space="preserve">(5) </w:t>
      </w:r>
      <w:hyperlink w:anchor="madde_23" w:history="1">
        <w:r>
          <w:rPr>
            <w:rFonts w:ascii="Avenir Light" w:hAnsi="Avenir Light" w:eastAsia="Avenir Light" w:cs="Avenir Light"/>
            <w:color w:val="188A42"/>
            <w:sz w:val="19"/>
            <w:szCs w:val="19"/>
          </w:rPr>
          <w:t xml:space="preserve">23 üncü madde</w:t>
        </w:r>
      </w:hyperlink>
      <w:r>
        <w:rPr>
          <w:rFonts w:ascii="Avenir Light" w:hAnsi="Avenir Light" w:eastAsia="Avenir Light" w:cs="Avenir Light"/>
          <w:b w:val="0"/>
          <w:i w:val="0"/>
          <w:color w:val="172126"/>
          <w:sz w:val="19"/>
        </w:rPr>
        <w:t xml:space="preserve"> çerçevesinde proses girdisi olarak kullanılan veya kütle dengesinde kullanılan yakıtlar için, Bakanlığın t (Değişik ibare:RG-5/2/2021-31386) CO 2 /t veya t (Değişik ibare:RG-5/2/2021-31386) CO 2 /Nm3 olarak ifade edilen emisyon faktörlerinin kullanılmasına izin verdiği yakıtlar için NKD, </w:t>
      </w:r>
      <w:hyperlink w:anchor="ek_2" w:history="1">
        <w:r>
          <w:rPr>
            <w:rFonts w:ascii="Avenir Light" w:hAnsi="Avenir Light" w:eastAsia="Avenir Light" w:cs="Avenir Light"/>
            <w:color w:val="188A42"/>
            <w:sz w:val="19"/>
            <w:szCs w:val="19"/>
          </w:rPr>
          <w:t xml:space="preserve">ek-2</w:t>
        </w:r>
      </w:hyperlink>
      <w:r>
        <w:rPr>
          <w:rFonts w:ascii="Avenir Light" w:hAnsi="Avenir Light" w:eastAsia="Avenir Light" w:cs="Avenir Light"/>
          <w:b w:val="0"/>
          <w:i w:val="0"/>
          <w:color w:val="172126"/>
          <w:sz w:val="19"/>
        </w:rPr>
        <w:t>’de tanımlanan en yüksek kademeler yerine daha düşük kademeler kullanılarak izlenir.</w:t>
      </w:r>
    </w:p>
    <w:p>
      <w:pPr>
        <w:pStyle w:val="LegalList"/>
      </w:pPr>
      <w:r>
        <w:rPr>
          <w:rFonts w:ascii="Avenir Light" w:hAnsi="Avenir Light" w:eastAsia="Avenir Light" w:cs="Avenir Light"/>
          <w:b w:val="0"/>
          <w:i w:val="0"/>
          <w:color w:val="172126"/>
          <w:sz w:val="19"/>
        </w:rPr>
        <w:t>(6) (Ek:RG-5/2/2021-31386) Hesaplama faktörlerinin elde edilmesi için uygulanacak kademelerin seçilmesinde makul olmayan maliyetlerin değerlendirilmesine ilişkin kurallar Bakanlık tarafından belirlenir.</w:t>
      </w:r>
    </w:p>
    <w:p>
      <w:pPr>
        <w:pStyle w:val="ArticleTitle"/>
      </w:pPr>
      <w:r>
        <w:rPr>
          <w:rFonts w:ascii="Avenir Light" w:hAnsi="Avenir Light" w:eastAsia="Avenir Light" w:cs="Avenir Light"/>
          <w:b w:val="0"/>
          <w:i w:val="0"/>
          <w:color w:val="0D5F31"/>
          <w:sz w:val="21"/>
        </w:rPr>
        <w:t>Faaliyet verisinin belirlenmesi</w:t>
      </w:r>
    </w:p>
    <w:p>
      <w:bookmarkStart w:id="34" w:name="madde_25"/>
      <w:pPr>
        <w:pStyle w:val="ArticleText"/>
      </w:pPr>
      <w:r>
        <w:rPr>
          <w:rFonts w:ascii="Avenir Light" w:hAnsi="Avenir Light" w:eastAsia="Avenir Light" w:cs="Avenir Light"/>
          <w:b w:val="0"/>
          <w:i w:val="0"/>
          <w:color w:val="172126"/>
          <w:sz w:val="19"/>
        </w:rPr>
        <w:t>MADDE 25 – (1) İşletme aşağıdaki yollardan biri ile bir kaynak akışına ilişkin faaliyet verisini belirler:</w:t>
      </w:r>
      <w:bookmarkEnd w:id="34"/>
    </w:p>
    <w:p>
      <w:pPr>
        <w:pStyle w:val="LegalList"/>
      </w:pPr>
      <w:r>
        <w:rPr>
          <w:rFonts w:ascii="Avenir Light" w:hAnsi="Avenir Light" w:eastAsia="Avenir Light" w:cs="Avenir Light"/>
          <w:b w:val="0"/>
          <w:i w:val="0"/>
          <w:color w:val="172126"/>
          <w:sz w:val="19"/>
        </w:rPr>
        <w:t>a) Emisyona sebep olan proseste sürekli ölçüm,</w:t>
      </w:r>
    </w:p>
    <w:p>
      <w:pPr>
        <w:pStyle w:val="LegalList"/>
      </w:pPr>
      <w:r>
        <w:rPr>
          <w:rFonts w:ascii="Avenir Light" w:hAnsi="Avenir Light" w:eastAsia="Avenir Light" w:cs="Avenir Light"/>
          <w:b w:val="0"/>
          <w:i w:val="0"/>
          <w:color w:val="172126"/>
          <w:sz w:val="19"/>
        </w:rPr>
        <w:t>b) İlgili stok değişikliklerini dikkate alarak ayrı ayrı ölçülen miktarların toplanması.</w:t>
      </w:r>
    </w:p>
    <w:p>
      <w:pPr>
        <w:pStyle w:val="LegalList"/>
      </w:pPr>
      <w:r>
        <w:rPr>
          <w:rFonts w:ascii="Avenir Light" w:hAnsi="Avenir Light" w:eastAsia="Avenir Light" w:cs="Avenir Light"/>
          <w:b w:val="0"/>
          <w:i w:val="0"/>
          <w:color w:val="172126"/>
          <w:sz w:val="19"/>
        </w:rPr>
        <w:t>(2) Birinci fıkranın (b) bendi kapsamında yapılacak olan işlemler için, raporlama dönemi süresince kullanılan yakıt veya malzeme miktarının hesaplanmasında; raporlama dönemi süresince satın alınan yakıt veya malzeme miktarından, tesisten ihraç edilen miktar çıkartılır, raporlama döneminin başlangıcında stokta bulunan miktar eklenir, raporlama döneminin sonunda stokta bulunan miktar çıkartılır.</w:t>
      </w:r>
    </w:p>
    <w:p>
      <w:pPr>
        <w:pStyle w:val="LegalList"/>
      </w:pPr>
      <w:r>
        <w:rPr>
          <w:rFonts w:ascii="Avenir Light" w:hAnsi="Avenir Light" w:eastAsia="Avenir Light" w:cs="Avenir Light"/>
          <w:b w:val="0"/>
          <w:i w:val="0"/>
          <w:color w:val="172126"/>
          <w:sz w:val="19"/>
        </w:rPr>
        <w:t>(3) Stokta bulunan miktarların doğrudan ölçüm ile belirlenmesinin teknik olarak elverişli olmadığı durumlarda, işletme aşağıdaki yöntemler ile bu miktarları tahmin edebilir:</w:t>
      </w:r>
    </w:p>
    <w:p>
      <w:pPr>
        <w:pStyle w:val="LegalList"/>
      </w:pPr>
      <w:r>
        <w:rPr>
          <w:rFonts w:ascii="Avenir Light" w:hAnsi="Avenir Light" w:eastAsia="Avenir Light" w:cs="Avenir Light"/>
          <w:b w:val="0"/>
          <w:i w:val="0"/>
          <w:color w:val="172126"/>
          <w:sz w:val="19"/>
        </w:rPr>
        <w:t>a) Geçmiş yıllara ait veriler ve raporlama dönemine ait üretim verileri arasında korelasyon,</w:t>
      </w:r>
    </w:p>
    <w:p>
      <w:pPr>
        <w:pStyle w:val="LegalList"/>
      </w:pPr>
      <w:r>
        <w:rPr>
          <w:rFonts w:ascii="Avenir Light" w:hAnsi="Avenir Light" w:eastAsia="Avenir Light" w:cs="Avenir Light"/>
          <w:b w:val="0"/>
          <w:i w:val="0"/>
          <w:color w:val="172126"/>
          <w:sz w:val="19"/>
        </w:rPr>
        <w:t>b) Belgelendirilmiş prosedürler ve raporlama dönemi için denetlenmiş mali tablolardaki ilgili veriler.</w:t>
      </w:r>
    </w:p>
    <w:p>
      <w:pPr>
        <w:pStyle w:val="LegalList"/>
      </w:pPr>
      <w:r>
        <w:rPr>
          <w:rFonts w:ascii="Avenir Light" w:hAnsi="Avenir Light" w:eastAsia="Avenir Light" w:cs="Avenir Light"/>
          <w:b w:val="0"/>
          <w:i w:val="0"/>
          <w:color w:val="172126"/>
          <w:sz w:val="19"/>
        </w:rPr>
        <w:t>(4) Bir takvim yılı için faaliyet verisinin belirlenmesinin teknik olarak elverişli olmadığı durumlarda işletme, bir raporlama yılını müteakip yıldan ayırmak için bir sonraki en uygun günü seçebilir ve gerekli takvim yılına göre düzenleyebilir. Bir veya birden fazla kaynak akışının dâhil olduğu sapmalar takvim yılı için temsili bir değer tabanı oluşturarak açıkça kaydedilir ve gelecek yıl ile bağlantılı olarak tutarlı şekilde değerlendirilir.</w:t>
      </w:r>
    </w:p>
    <w:p>
      <w:pPr>
        <w:pStyle w:val="ArticleTitle"/>
      </w:pPr>
      <w:r>
        <w:rPr>
          <w:rFonts w:ascii="Avenir Light" w:hAnsi="Avenir Light" w:eastAsia="Avenir Light" w:cs="Avenir Light"/>
          <w:b w:val="0"/>
          <w:i w:val="0"/>
          <w:color w:val="0D5F31"/>
          <w:sz w:val="21"/>
        </w:rPr>
        <w:t>İşletmenin kontrolü altındaki ölçüm sistemleri</w:t>
      </w:r>
    </w:p>
    <w:p>
      <w:bookmarkStart w:id="35" w:name="madde_26"/>
      <w:pPr>
        <w:pStyle w:val="ArticleText"/>
      </w:pPr>
      <w:r>
        <w:rPr>
          <w:rFonts w:ascii="Avenir Light" w:hAnsi="Avenir Light" w:eastAsia="Avenir Light" w:cs="Avenir Light"/>
          <w:b w:val="0"/>
          <w:i w:val="0"/>
          <w:color w:val="172126"/>
          <w:sz w:val="19"/>
        </w:rPr>
        <w:t xml:space="preserve">MADDE 26 – (1) </w:t>
      </w:r>
      <w:hyperlink w:anchor="madde_25" w:history="1">
        <w:r>
          <w:rPr>
            <w:rFonts w:ascii="Avenir Light" w:hAnsi="Avenir Light" w:eastAsia="Avenir Light" w:cs="Avenir Light"/>
            <w:color w:val="188A42"/>
            <w:sz w:val="19"/>
            <w:szCs w:val="19"/>
          </w:rPr>
          <w:t xml:space="preserve">25 inci madde</w:t>
        </w:r>
      </w:hyperlink>
      <w:r>
        <w:rPr>
          <w:rFonts w:ascii="Avenir Light" w:hAnsi="Avenir Light" w:eastAsia="Avenir Light" w:cs="Avenir Light"/>
          <w:b w:val="0"/>
          <w:i w:val="0"/>
          <w:color w:val="172126"/>
          <w:sz w:val="19"/>
        </w:rPr>
        <w:t xml:space="preserve"> kapsamında faaliyet verisinin belirlenmesi için işletme, aşağıdaki koşulların karşılanması şartı ile tesiste kendi kontrolü altındaki ölçüm sistemlerine dayanan ölçüm sonuçlarını kullanabilir:</w:t>
      </w:r>
      <w:bookmarkEnd w:id="35"/>
    </w:p>
    <w:p>
      <w:pPr>
        <w:pStyle w:val="LegalList"/>
      </w:pPr>
      <w:r>
        <w:rPr>
          <w:rFonts w:ascii="Avenir Light" w:hAnsi="Avenir Light" w:eastAsia="Avenir Light" w:cs="Avenir Light"/>
          <w:b w:val="0"/>
          <w:i w:val="0"/>
          <w:color w:val="172126"/>
          <w:sz w:val="19"/>
        </w:rPr>
        <w:t>a) İşletme bir belirsizlik değerlendirmesi yaparak ilgili kademe seviyesinin belirsizlik eşiğinin karşılanmasını temin eder.</w:t>
      </w:r>
    </w:p>
    <w:p>
      <w:pPr>
        <w:pStyle w:val="LegalList"/>
      </w:pPr>
      <w:r>
        <w:rPr>
          <w:rFonts w:ascii="Avenir Light" w:hAnsi="Avenir Light" w:eastAsia="Avenir Light" w:cs="Avenir Light"/>
          <w:b w:val="0"/>
          <w:i w:val="0"/>
          <w:color w:val="172126"/>
          <w:sz w:val="19"/>
        </w:rPr>
        <w:t>b) İşletme yılda en az bir defa ve ölçüm ekipmanının her kalibrasyonundan sonra, mevcut belirsizliğin etkisini dikkate almak için bu veya benzeri ölçüm cihazlarının önceki kalibrasyonlarının uygun bir zaman dizisine dayanarak ihtiyatlı ayarlama faktörü ile çarpılan kalibrasyon sonuçlarının, ilgili belirsizlik eşikleri ile karşılaştırılmalarını temin eder.</w:t>
      </w:r>
    </w:p>
    <w:p>
      <w:pPr>
        <w:pStyle w:val="LegalList"/>
      </w:pPr>
      <w:r>
        <w:rPr>
          <w:rFonts w:ascii="Avenir Light" w:hAnsi="Avenir Light" w:eastAsia="Avenir Light" w:cs="Avenir Light"/>
          <w:b w:val="0"/>
          <w:i w:val="0"/>
          <w:color w:val="172126"/>
          <w:sz w:val="19"/>
        </w:rPr>
        <w:t>(2) İzleme planı kapsamında onaylanan kademe eşiklerinin aşıldığı veya ekipmanın diğer gereksinimleri karşılamadığı durumlarda, işletme ivedilikle gerekli önlemleri alır ve Bakanlığa en geç 15 gün içinde bilgi verir.</w:t>
      </w:r>
    </w:p>
    <w:p>
      <w:pPr>
        <w:pStyle w:val="LegalList"/>
      </w:pPr>
      <w:r>
        <w:rPr>
          <w:rFonts w:ascii="Avenir Light" w:hAnsi="Avenir Light" w:eastAsia="Avenir Light" w:cs="Avenir Light"/>
          <w:b w:val="0"/>
          <w:i w:val="0"/>
          <w:color w:val="172126"/>
          <w:sz w:val="19"/>
        </w:rPr>
        <w:t xml:space="preserve">(3) İşletme yeni bir izleme planı bildirirken veya onaylanmış izleme planında bir değişiklik yapması halinde, birinci fıkranın (a) bendi kapsamında belirsizlik değerlendirmesini Bakanlığa sunmakla yükümlüdür. Bu değerlendirme, kullanılan ölçüm cihazları, kalibrasyon ve ölçüm cihazlarının kullanımı ile ilgili belirsizlikleri içerir. Stok değişikliği ile ilgili belirsizlik, depolama tesislerinin kapasitesinin yıllık kullanılan ilgili yakıt veya malzeme miktarının en az %5’i olduğu durumda belirsizlik değerlendirmesine dâhil edilir. </w:t>
      </w:r>
      <w:hyperlink w:anchor="ek_2" w:history="1">
        <w:r>
          <w:rPr>
            <w:rFonts w:ascii="Avenir Light" w:hAnsi="Avenir Light" w:eastAsia="Avenir Light" w:cs="Avenir Light"/>
            <w:color w:val="188A42"/>
            <w:sz w:val="19"/>
            <w:szCs w:val="19"/>
          </w:rPr>
          <w:t xml:space="preserve">Ek-2</w:t>
        </w:r>
      </w:hyperlink>
      <w:r>
        <w:rPr>
          <w:rFonts w:ascii="Avenir Light" w:hAnsi="Avenir Light" w:eastAsia="Avenir Light" w:cs="Avenir Light"/>
          <w:b w:val="0"/>
          <w:i w:val="0"/>
          <w:color w:val="172126"/>
          <w:sz w:val="19"/>
        </w:rPr>
        <w:t xml:space="preserve">’de yer alan kademe belirsizlik eşik değerleri tüm raporlama dönemindeki belirsizliği tanımlar. İşletme, kullanılmakta olan ölçüm aletlerinin belirsizlik değerlendirmesini basitleştirmek amacıyla; ölçüm cihazları için belirlenen azami izin verilebilir hataları veya kalibrasyondan gelen belirsizliği, kullanımdan kaynaklanan belirsizliğin etkisini dikkate almak için ihtiyatlı ayarlama faktörü ile çarpar. Ancak bu değerlendirme için ölçüm cihazlarının kullanım talimatları doğrultusunda monte edilmesi şarttır. Elde edilen değer, </w:t>
      </w:r>
      <w:hyperlink w:anchor="ek_2" w:history="1">
        <w:r>
          <w:rPr>
            <w:rFonts w:ascii="Avenir Light" w:hAnsi="Avenir Light" w:eastAsia="Avenir Light" w:cs="Avenir Light"/>
            <w:color w:val="188A42"/>
            <w:sz w:val="19"/>
            <w:szCs w:val="19"/>
          </w:rPr>
          <w:t xml:space="preserve">ek-2</w:t>
        </w:r>
      </w:hyperlink>
      <w:r>
        <w:rPr>
          <w:rFonts w:ascii="Avenir Light" w:hAnsi="Avenir Light" w:eastAsia="Avenir Light" w:cs="Avenir Light"/>
          <w:b w:val="0"/>
          <w:i w:val="0"/>
          <w:color w:val="172126"/>
          <w:sz w:val="19"/>
        </w:rPr>
        <w:t>’de belirtilen kademe tanımlarına uygun olarak tüm raporlama dönemi boyunca geçerli olur.</w:t>
      </w:r>
    </w:p>
    <w:p>
      <w:pPr>
        <w:pStyle w:val="LegalList"/>
      </w:pPr>
      <w:r>
        <w:rPr>
          <w:rFonts w:ascii="Avenir Light" w:hAnsi="Avenir Light" w:eastAsia="Avenir Light" w:cs="Avenir Light"/>
          <w:b w:val="0"/>
          <w:i w:val="0"/>
          <w:color w:val="172126"/>
          <w:sz w:val="19"/>
        </w:rPr>
        <w:t>(4) (Değişik:RG-5/2/2021-31386) Bakanlık, işletmeye tesiste kendi kontrolü altındaki ölçüm sistemlerine dayanan ölçüm sonuçlarını kullanmasına ancak kullanılan ölçüm cihazlarının metrolojik kontrole ilişkin mevzuata uygun olduğuna dair belge sunduğunda izin verir. Bu durumda üçüncü fıkrada yer alan hükümler uygulanmaz. Bu amaçla, ilgili ölçüm için metrolojik kontrole ilişkin mevzuatta yer alan azami izin verilebilir hata, ilave belge sunulmadan belirsizlik değeri olarak kullanılır.</w:t>
      </w:r>
    </w:p>
    <w:p>
      <w:pPr>
        <w:pStyle w:val="ArticleTitle"/>
      </w:pPr>
      <w:r>
        <w:rPr>
          <w:rFonts w:ascii="Avenir Light" w:hAnsi="Avenir Light" w:eastAsia="Avenir Light" w:cs="Avenir Light"/>
          <w:b w:val="0"/>
          <w:i w:val="0"/>
          <w:color w:val="0D5F31"/>
          <w:sz w:val="21"/>
        </w:rPr>
        <w:t>İşletmenin kontrolü dışındaki ölçüm sistemleri</w:t>
      </w:r>
    </w:p>
    <w:p>
      <w:bookmarkStart w:id="36" w:name="madde_27"/>
      <w:pPr>
        <w:pStyle w:val="ArticleText"/>
      </w:pPr>
      <w:r>
        <w:rPr>
          <w:rFonts w:ascii="Avenir Light" w:hAnsi="Avenir Light" w:eastAsia="Avenir Light" w:cs="Avenir Light"/>
          <w:b w:val="0"/>
          <w:i w:val="0"/>
          <w:color w:val="172126"/>
          <w:sz w:val="19"/>
        </w:rPr>
        <w:t xml:space="preserve">MADDE 27 – (1) Basitleştirilmiş belirsizlik değerlendirmesine dayanan, </w:t>
      </w:r>
      <w:hyperlink w:anchor="madde_26" w:history="1">
        <w:r>
          <w:rPr>
            <w:rFonts w:ascii="Avenir Light" w:hAnsi="Avenir Light" w:eastAsia="Avenir Light" w:cs="Avenir Light"/>
            <w:color w:val="188A42"/>
            <w:sz w:val="19"/>
            <w:szCs w:val="19"/>
          </w:rPr>
          <w:t xml:space="preserve">26 ncı madde</w:t>
        </w:r>
      </w:hyperlink>
      <w:r>
        <w:rPr>
          <w:rFonts w:ascii="Avenir Light" w:hAnsi="Avenir Light" w:eastAsia="Avenir Light" w:cs="Avenir Light"/>
          <w:b w:val="0"/>
          <w:i w:val="0"/>
          <w:color w:val="172126"/>
          <w:sz w:val="19"/>
        </w:rPr>
        <w:t xml:space="preserve"> kapsamında işletmenin kendi kontrolündeki ölçüm sistemlerinin kullanımı ile karşılaştırıldığında, işletmenin kontrolü dışındaki ölçüm sistemlerinin kullanımının işletmeye en az bir yüksek kademeyi sağladığı, daha güvenilir sonuçlar verdiği ve kontrol risklerine daha az açık olduğu durumlarda, işletme kendi kontrolü dışındaki ölçüm sistemlerinden faaliyet verilerini belirler. Bu bağlamda, işletme aşağıdaki veri kaynaklarından birini kullanır:</w:t>
      </w:r>
      <w:bookmarkEnd w:id="36"/>
    </w:p>
    <w:p>
      <w:pPr>
        <w:pStyle w:val="LegalList"/>
      </w:pPr>
      <w:r>
        <w:rPr>
          <w:rFonts w:ascii="Avenir Light" w:hAnsi="Avenir Light" w:eastAsia="Avenir Light" w:cs="Avenir Light"/>
          <w:b w:val="0"/>
          <w:i w:val="0"/>
          <w:color w:val="172126"/>
          <w:sz w:val="19"/>
        </w:rPr>
        <w:t>a) İki bağımsız ticari ortak arasında ticari ilişkinin bulunması şartı ile bir ticari ortağın verdiği faturalardaki miktarlar,</w:t>
      </w:r>
    </w:p>
    <w:p>
      <w:pPr>
        <w:pStyle w:val="LegalList"/>
      </w:pPr>
      <w:r>
        <w:rPr>
          <w:rFonts w:ascii="Avenir Light" w:hAnsi="Avenir Light" w:eastAsia="Avenir Light" w:cs="Avenir Light"/>
          <w:b w:val="0"/>
          <w:i w:val="0"/>
          <w:color w:val="172126"/>
          <w:sz w:val="19"/>
        </w:rPr>
        <w:t>b) Ölçüm cihazlarından okunan değerler.</w:t>
      </w:r>
    </w:p>
    <w:p>
      <w:pPr>
        <w:pStyle w:val="LegalList"/>
      </w:pPr>
      <w:r>
        <w:rPr>
          <w:rFonts w:ascii="Avenir Light" w:hAnsi="Avenir Light" w:eastAsia="Avenir Light" w:cs="Avenir Light"/>
          <w:b w:val="0"/>
          <w:i w:val="0"/>
          <w:color w:val="172126"/>
          <w:sz w:val="19"/>
        </w:rPr>
        <w:t xml:space="preserve">(2) İşletme, </w:t>
      </w:r>
      <w:hyperlink w:anchor="madde_24" w:history="1">
        <w:r>
          <w:rPr>
            <w:rFonts w:ascii="Avenir Light" w:hAnsi="Avenir Light" w:eastAsia="Avenir Light" w:cs="Avenir Light"/>
            <w:color w:val="188A42"/>
            <w:sz w:val="19"/>
            <w:szCs w:val="19"/>
          </w:rPr>
          <w:t xml:space="preserve">24 üncü madde</w:t>
        </w:r>
      </w:hyperlink>
      <w:r>
        <w:rPr>
          <w:rFonts w:ascii="Avenir Light" w:hAnsi="Avenir Light" w:eastAsia="Avenir Light" w:cs="Avenir Light"/>
          <w:b w:val="0"/>
          <w:i w:val="0"/>
          <w:color w:val="172126"/>
          <w:sz w:val="19"/>
        </w:rPr>
        <w:t xml:space="preserve"> çerçevesinde uygulanabilir kademe ile uygunluğu sağlamak zorundadır. Bu bağlamda, ilgili ticari işlem için metrolojik kontrole ilişkin mevzuatta yer alan azami izin verilebilir hata, ilave belge sunulmadan belirsizlik değeri olarak kullanılır. Metrolojik kontrole ilişkin mevzuatta yer alan gereklilikler, </w:t>
      </w:r>
      <w:hyperlink w:anchor="madde_24" w:history="1">
        <w:r>
          <w:rPr>
            <w:rFonts w:ascii="Avenir Light" w:hAnsi="Avenir Light" w:eastAsia="Avenir Light" w:cs="Avenir Light"/>
            <w:color w:val="188A42"/>
            <w:sz w:val="19"/>
            <w:szCs w:val="19"/>
          </w:rPr>
          <w:t xml:space="preserve">24 üncü madde</w:t>
        </w:r>
      </w:hyperlink>
      <w:r>
        <w:rPr>
          <w:rFonts w:ascii="Avenir Light" w:hAnsi="Avenir Light" w:eastAsia="Avenir Light" w:cs="Avenir Light"/>
          <w:b w:val="0"/>
          <w:i w:val="0"/>
          <w:color w:val="172126"/>
          <w:sz w:val="19"/>
        </w:rPr>
        <w:t xml:space="preserve"> kapsamında belirtilen uygulanabilir kademeden daha düşük ise işletme ölçüm sisteminden sorumlu ticari ortağından uygulanabilir belirsizlik ile ilgili gerekli bilgi ve belgeleri temin eder.</w:t>
      </w:r>
    </w:p>
    <w:p>
      <w:pPr>
        <w:pStyle w:val="ArticleTitle"/>
      </w:pPr>
      <w:r>
        <w:rPr>
          <w:rFonts w:ascii="Avenir Light" w:hAnsi="Avenir Light" w:eastAsia="Avenir Light" w:cs="Avenir Light"/>
          <w:b w:val="0"/>
          <w:i w:val="0"/>
          <w:color w:val="0D5F31"/>
          <w:sz w:val="21"/>
        </w:rPr>
        <w:t>Hesaplama faktörlerinin belirlenmesi</w:t>
      </w:r>
    </w:p>
    <w:p>
      <w:bookmarkStart w:id="37" w:name="madde_28"/>
      <w:pPr>
        <w:pStyle w:val="ArticleText"/>
      </w:pPr>
      <w:r>
        <w:rPr>
          <w:rFonts w:ascii="Avenir Light" w:hAnsi="Avenir Light" w:eastAsia="Avenir Light" w:cs="Avenir Light"/>
          <w:b w:val="0"/>
          <w:i w:val="0"/>
          <w:color w:val="172126"/>
          <w:sz w:val="19"/>
        </w:rPr>
        <w:t>MADDE 28 – (1) İşletme, hesaplama faktörlerini ya varsayılan değerler ya da uygulanabilir kademeye bağlı analize dayanan değerler olarak belirler.</w:t>
      </w:r>
      <w:bookmarkEnd w:id="37"/>
    </w:p>
    <w:p>
      <w:pPr>
        <w:pStyle w:val="LegalList"/>
      </w:pPr>
      <w:r>
        <w:rPr>
          <w:rFonts w:ascii="Avenir Light" w:hAnsi="Avenir Light" w:eastAsia="Avenir Light" w:cs="Avenir Light"/>
          <w:b w:val="0"/>
          <w:i w:val="0"/>
          <w:color w:val="172126"/>
          <w:sz w:val="19"/>
        </w:rPr>
        <w:t>(2) İşletme, kurutulmadan veya laboratuvar analizi için işlem görmeden önce, emisyona sebep olan işlem için satın alınan veya kullanılan yakıt veya malzemenin durumunu referans alarak ilgili faaliyet verisi için kullanılan durum ile tutarlı hesaplama faktörlerini belirler ve raporlar. Bu yaklaşım ile daha yüksek doğruluğun elde edilebileceği durumlarda, işletme laboratuvar analizlerinin yürütüldüğü duruma ait faaliyet verisini ve hesaplama faktörlerini sürekli olarak raporlayabilir.</w:t>
      </w:r>
    </w:p>
    <w:p>
      <w:pPr>
        <w:pStyle w:val="ArticleTitle"/>
      </w:pPr>
      <w:r>
        <w:rPr>
          <w:rFonts w:ascii="Avenir Light" w:hAnsi="Avenir Light" w:eastAsia="Avenir Light" w:cs="Avenir Light"/>
          <w:b w:val="0"/>
          <w:i w:val="0"/>
          <w:color w:val="0D5F31"/>
          <w:sz w:val="21"/>
        </w:rPr>
        <w:t>Hesaplama faktörleri için varsayılan değerler</w:t>
      </w:r>
    </w:p>
    <w:p>
      <w:bookmarkStart w:id="38" w:name="madde_29"/>
      <w:pPr>
        <w:pStyle w:val="ArticleText"/>
      </w:pPr>
      <w:r>
        <w:rPr>
          <w:rFonts w:ascii="Avenir Light" w:hAnsi="Avenir Light" w:eastAsia="Avenir Light" w:cs="Avenir Light"/>
          <w:b w:val="0"/>
          <w:i w:val="0"/>
          <w:color w:val="172126"/>
          <w:sz w:val="19"/>
        </w:rPr>
        <w:t xml:space="preserve">MADDE 29 – (1) İşletmenin hesaplama faktörlerini varsayılan değer olarak belirlediği durumda, </w:t>
      </w:r>
      <w:hyperlink w:anchor="ek_2" w:history="1">
        <w:r>
          <w:rPr>
            <w:rFonts w:ascii="Avenir Light" w:hAnsi="Avenir Light" w:eastAsia="Avenir Light" w:cs="Avenir Light"/>
            <w:color w:val="188A42"/>
            <w:sz w:val="19"/>
            <w:szCs w:val="19"/>
          </w:rPr>
          <w:t xml:space="preserve">ek-2</w:t>
        </w:r>
      </w:hyperlink>
      <w:r>
        <w:rPr>
          <w:rFonts w:ascii="Avenir Light" w:hAnsi="Avenir Light" w:eastAsia="Avenir Light" w:cs="Avenir Light"/>
          <w:b w:val="0"/>
          <w:i w:val="0"/>
          <w:color w:val="172126"/>
          <w:sz w:val="19"/>
        </w:rPr>
        <w:t xml:space="preserve"> ve </w:t>
      </w:r>
      <w:hyperlink w:anchor="ek_3" w:history="1">
        <w:r>
          <w:rPr>
            <w:rFonts w:ascii="Avenir Light" w:hAnsi="Avenir Light" w:eastAsia="Avenir Light" w:cs="Avenir Light"/>
            <w:color w:val="188A42"/>
            <w:sz w:val="19"/>
            <w:szCs w:val="19"/>
          </w:rPr>
          <w:t xml:space="preserve">ek-3</w:t>
        </w:r>
      </w:hyperlink>
      <w:r>
        <w:rPr>
          <w:rFonts w:ascii="Avenir Light" w:hAnsi="Avenir Light" w:eastAsia="Avenir Light" w:cs="Avenir Light"/>
          <w:b w:val="0"/>
          <w:i w:val="0"/>
          <w:color w:val="172126"/>
          <w:sz w:val="19"/>
        </w:rPr>
        <w:t>’te belirtildiği gibi, uygulanabilir kademenin gereksinimleri ile uyumlu olarak, aşağıdaki değerlerden birini kullanır:</w:t>
      </w:r>
      <w:bookmarkEnd w:id="38"/>
    </w:p>
    <w:p>
      <w:pPr>
        <w:pStyle w:val="LegalList"/>
      </w:pPr>
      <w:r>
        <w:rPr>
          <w:rFonts w:ascii="Avenir Light" w:hAnsi="Avenir Light" w:eastAsia="Avenir Light" w:cs="Avenir Light"/>
          <w:b w:val="0"/>
          <w:i w:val="0"/>
          <w:color w:val="172126"/>
          <w:sz w:val="19"/>
        </w:rPr>
        <w:t xml:space="preserve">a) </w:t>
      </w:r>
      <w:hyperlink w:anchor="ek_5" w:history="1">
        <w:r>
          <w:rPr>
            <w:rFonts w:ascii="Avenir Light" w:hAnsi="Avenir Light" w:eastAsia="Avenir Light" w:cs="Avenir Light"/>
            <w:color w:val="188A42"/>
            <w:sz w:val="19"/>
            <w:szCs w:val="19"/>
          </w:rPr>
          <w:t xml:space="preserve">Ek-5</w:t>
        </w:r>
      </w:hyperlink>
      <w:r>
        <w:rPr>
          <w:rFonts w:ascii="Avenir Light" w:hAnsi="Avenir Light" w:eastAsia="Avenir Light" w:cs="Avenir Light"/>
          <w:b w:val="0"/>
          <w:i w:val="0"/>
          <w:color w:val="172126"/>
          <w:sz w:val="19"/>
        </w:rPr>
        <w:t>’te listelenen standart faktörler ve stokiyometrik değerler,</w:t>
      </w:r>
    </w:p>
    <w:p>
      <w:pPr>
        <w:pStyle w:val="LegalList"/>
      </w:pPr>
      <w:r>
        <w:rPr>
          <w:rFonts w:ascii="Avenir Light" w:hAnsi="Avenir Light" w:eastAsia="Avenir Light" w:cs="Avenir Light"/>
          <w:b w:val="0"/>
          <w:i w:val="0"/>
          <w:color w:val="172126"/>
          <w:sz w:val="19"/>
        </w:rPr>
        <w:t>b) Birleşmiş Milletler İklim Değişikliği Çerçeve Sözleşmesi kapsamında hazırlanan ulusal sera gazı envanteri için kullanılan standart faktörler,</w:t>
      </w:r>
    </w:p>
    <w:p>
      <w:pPr>
        <w:pStyle w:val="LegalList"/>
      </w:pPr>
      <w:r>
        <w:rPr>
          <w:rFonts w:ascii="Avenir Light" w:hAnsi="Avenir Light" w:eastAsia="Avenir Light" w:cs="Avenir Light"/>
          <w:b w:val="0"/>
          <w:i w:val="0"/>
          <w:color w:val="172126"/>
          <w:sz w:val="19"/>
        </w:rPr>
        <w:t>c) %95’lik güven aralığı ile karbon içeriğinin %1’den daha fazla olmaması sağlandığında, malzeme tedarikçisi tarafından belirtilen ve garanti edilen değerler,</w:t>
      </w:r>
    </w:p>
    <w:p>
      <w:pPr>
        <w:pStyle w:val="LegalList"/>
      </w:pPr>
      <w:r>
        <w:rPr>
          <w:rFonts w:ascii="Avenir Light" w:hAnsi="Avenir Light" w:eastAsia="Avenir Light" w:cs="Avenir Light"/>
          <w:b w:val="0"/>
          <w:i w:val="0"/>
          <w:color w:val="172126"/>
          <w:sz w:val="19"/>
        </w:rPr>
        <w:t>ç) Bir malzemenin gelecekte kullanılacak lotları için temsil niteliği taşıdığına dair bilgi ve belgenin Bakanlığa sunulması durumunda, geçmiş analizlere dayanan değerler.</w:t>
      </w:r>
    </w:p>
    <w:p>
      <w:pPr>
        <w:pStyle w:val="LegalList"/>
      </w:pPr>
      <w:r>
        <w:rPr>
          <w:rFonts w:ascii="Avenir Light" w:hAnsi="Avenir Light" w:eastAsia="Avenir Light" w:cs="Avenir Light"/>
          <w:b w:val="0"/>
          <w:i w:val="0"/>
          <w:color w:val="172126"/>
          <w:sz w:val="19"/>
        </w:rPr>
        <w:t>(2) İşletme izleme planında, kullanılan bütün varsayılan değerleri belirtir. Varsayılan değerlerin yıllık olarak değiştiği durumlarda, işletme izleme planında bu değerin doğruluk kaynağını belirtir.</w:t>
      </w:r>
    </w:p>
    <w:p>
      <w:pPr>
        <w:pStyle w:val="LegalList"/>
      </w:pPr>
      <w:r>
        <w:rPr>
          <w:rFonts w:ascii="Avenir Light" w:hAnsi="Avenir Light" w:eastAsia="Avenir Light" w:cs="Avenir Light"/>
          <w:b w:val="0"/>
          <w:i w:val="0"/>
          <w:color w:val="172126"/>
          <w:sz w:val="19"/>
        </w:rPr>
        <w:t xml:space="preserve">(3) İşletmenin, yeni varsayılan değerin, emisyonların daha doğru belirlenmesini sağladığına dair başvuru yapması halinde, Bakanlık </w:t>
      </w:r>
      <w:hyperlink w:anchor="madde_14" w:history="1">
        <w:r>
          <w:rPr>
            <w:rFonts w:ascii="Avenir Light" w:hAnsi="Avenir Light" w:eastAsia="Avenir Light" w:cs="Avenir Light"/>
            <w:color w:val="188A42"/>
            <w:sz w:val="19"/>
            <w:szCs w:val="19"/>
          </w:rPr>
          <w:t xml:space="preserve">14 üncü madde</w:t>
        </w:r>
      </w:hyperlink>
      <w:r>
        <w:rPr>
          <w:rFonts w:ascii="Avenir Light" w:hAnsi="Avenir Light" w:eastAsia="Avenir Light" w:cs="Avenir Light"/>
          <w:b w:val="0"/>
          <w:i w:val="0"/>
          <w:color w:val="172126"/>
          <w:sz w:val="19"/>
        </w:rPr>
        <w:t>nin ikinci fıkrası kapsamında, izleme planında varsayılan değerin değiştirilmesini onaylayabilir.</w:t>
      </w:r>
    </w:p>
    <w:p>
      <w:pPr>
        <w:pStyle w:val="LegalList"/>
      </w:pPr>
      <w:r>
        <w:rPr>
          <w:rFonts w:ascii="Avenir Light" w:hAnsi="Avenir Light" w:eastAsia="Avenir Light" w:cs="Avenir Light"/>
          <w:b w:val="0"/>
          <w:i w:val="0"/>
          <w:color w:val="172126"/>
          <w:sz w:val="19"/>
        </w:rPr>
        <w:t>(4) İşletme, en az üç yılda bir, bir önceki üç yıllık süre için belirtilmiş olan NKD’nin ±%1 aralığında olduğunu göstermesi durumunda Bakanlık, hem NKD hem de emisyon faktörlerinin ticari standart yakıtlar için belirlenmiş aynı kademeleri kullanmasına izin verir.</w:t>
      </w:r>
    </w:p>
    <w:p>
      <w:pPr>
        <w:pStyle w:val="ArticleTitle"/>
      </w:pPr>
      <w:r>
        <w:rPr>
          <w:rFonts w:ascii="Avenir Light" w:hAnsi="Avenir Light" w:eastAsia="Avenir Light" w:cs="Avenir Light"/>
          <w:b w:val="0"/>
          <w:i w:val="0"/>
          <w:color w:val="0D5F31"/>
          <w:sz w:val="21"/>
        </w:rPr>
        <w:t>Analize dayanan hesaplama faktörleri</w:t>
      </w:r>
    </w:p>
    <w:p>
      <w:bookmarkStart w:id="39" w:name="madde_30"/>
      <w:pPr>
        <w:pStyle w:val="ArticleText"/>
      </w:pPr>
      <w:r>
        <w:rPr>
          <w:rFonts w:ascii="Avenir Light" w:hAnsi="Avenir Light" w:eastAsia="Avenir Light" w:cs="Avenir Light"/>
          <w:b w:val="0"/>
          <w:i w:val="0"/>
          <w:color w:val="172126"/>
          <w:sz w:val="19"/>
        </w:rPr>
        <w:t>MADDE 30 – (1) Hesaplama faktörlerinin belirlenmesi için kullanılan analiz, örnekleme, kalibrasyon ve doğrulama, ilgili TS EN standartlarınca uygulanan yöntemler ile yapılır. Bu tip standartların olmadığı durumlarda, ilgili ISO Standartları dikkate alınır. Uygulanabilir yayımlanmış standartların olmadığı durumlarda, örnekleme ve ölçüm belirsizliklerini sınırlandıran uygun taslak standartlar, sanayide en iyi uygulama kılavuzları veya bilimsel olarak ispat edilmiş diğer yöntemler kullanılır.</w:t>
      </w:r>
      <w:bookmarkEnd w:id="39"/>
    </w:p>
    <w:p>
      <w:pPr>
        <w:pStyle w:val="LegalList"/>
      </w:pPr>
      <w:r>
        <w:rPr>
          <w:rFonts w:ascii="Avenir Light" w:hAnsi="Avenir Light" w:eastAsia="Avenir Light" w:cs="Avenir Light"/>
          <w:b w:val="0"/>
          <w:i w:val="0"/>
          <w:color w:val="172126"/>
          <w:sz w:val="19"/>
        </w:rPr>
        <w:t>(2) Emisyonun belirlenmesi için çevrimiçi gaz kromatograflarının veya baca içi veya baca dışı gaz analizörlerinin kullanılması Bakanlık onayına tabidir. Söz konusu ekipman sadece gaz halindeki yakıtların ve malzemelerin kompozisyonunun belirlenmesi için kullanılabilir. Asgari kalite güvence tedbirleri olarak, işletme cihazın ilk doğrulama ölçümleri ve düzenli yıllık doğrulama ölçümlerini yaptırır.</w:t>
      </w:r>
    </w:p>
    <w:p>
      <w:pPr>
        <w:pStyle w:val="LegalList"/>
      </w:pPr>
      <w:r>
        <w:rPr>
          <w:rFonts w:ascii="Avenir Light" w:hAnsi="Avenir Light" w:eastAsia="Avenir Light" w:cs="Avenir Light"/>
          <w:b w:val="0"/>
          <w:i w:val="0"/>
          <w:color w:val="172126"/>
          <w:sz w:val="19"/>
        </w:rPr>
        <w:t>(3) Herhangi bir analizin sonucu, sadece alınan örneklerin karakterize edeceği dönem veya yakıt veya malzeme lotu için kullanılır. Belirli bir parametrenin belirlenmesi için işletme bu parametre ile bağlantılı olan bütün analizlerin sonuçlarını kullanır.</w:t>
      </w:r>
    </w:p>
    <w:p>
      <w:pPr>
        <w:pStyle w:val="ArticleTitle"/>
      </w:pPr>
      <w:r>
        <w:rPr>
          <w:rFonts w:ascii="Avenir Light" w:hAnsi="Avenir Light" w:eastAsia="Avenir Light" w:cs="Avenir Light"/>
          <w:b w:val="0"/>
          <w:i w:val="0"/>
          <w:color w:val="0D5F31"/>
          <w:sz w:val="21"/>
        </w:rPr>
        <w:t>Örnekleme planı</w:t>
      </w:r>
    </w:p>
    <w:p>
      <w:bookmarkStart w:id="40" w:name="madde_31"/>
      <w:pPr>
        <w:pStyle w:val="ArticleText"/>
      </w:pPr>
      <w:r>
        <w:rPr>
          <w:rFonts w:ascii="Avenir Light" w:hAnsi="Avenir Light" w:eastAsia="Avenir Light" w:cs="Avenir Light"/>
          <w:b w:val="0"/>
          <w:i w:val="0"/>
          <w:color w:val="172126"/>
          <w:sz w:val="19"/>
        </w:rPr>
        <w:t>MADDE 31 – (1) Hesaplama faktörlerinin analizler ile belirlendiği durumlarda, işletme her bir yakıt veya malzeme için yazılı bir prosedür halinde hazırladığı örnekleme planını onaylaması için Bakanlığa sunar. Söz konusu örnekleme planında, örneklerin hazırlanmasına ilişkin yöntemler, sorumluluklar, konumlar, sıklıklar ve miktarlar, örneklerin depolanması ve taşınmasına ilişkin yöntemler hakkında bilgiler yer alır. İşletme, alınan örneklerin ilgili lot veya teslimat dönemi için temsil edici olmasını ve sapma olmamasını temin eder. Örnekleme planı çerçevesinde ilgili yakıt veya malzeme için analiz yürüten laboratuvar ile işletme arasında tam bir mutabakat sağlanır ve bu anlaşmaya dair belgeler plana eklenir. İşletme talep edilmesi durumunda Yönetmeliğe uygun olarak yapılacak doğrulama faaliyetleri için bu planı Bakanlığa ve doğrulayıcı kuruluşa vermekle yükümlüdür.</w:t>
      </w:r>
      <w:bookmarkEnd w:id="40"/>
    </w:p>
    <w:p>
      <w:pPr>
        <w:pStyle w:val="LegalList"/>
      </w:pPr>
      <w:r>
        <w:rPr>
          <w:rFonts w:ascii="Avenir Light" w:hAnsi="Avenir Light" w:eastAsia="Avenir Light" w:cs="Avenir Light"/>
          <w:b w:val="0"/>
          <w:i w:val="0"/>
          <w:color w:val="172126"/>
          <w:sz w:val="19"/>
        </w:rPr>
        <w:t>(2) İşletme, ilgili yakıt veya malzeme için analiz yürüten laboratuvar ile anlaşarak ve Bakanlığın onayını alarak, analitik sonuçların yakıtın veya malzemenin heterojenliğinin, belirgin şekilde belirtilen yakıt veya malzeme için orijinal örnekleme planının dayandığı heterojenlik bilgisinden farklı olduğu durumlar için örnekleme planında ilgili yöntemlere ilişkin hükümleri tanımlar ve uygular.</w:t>
      </w:r>
    </w:p>
    <w:p>
      <w:pPr>
        <w:pStyle w:val="ArticleTitle"/>
      </w:pPr>
      <w:r>
        <w:rPr>
          <w:rFonts w:ascii="Avenir Light" w:hAnsi="Avenir Light" w:eastAsia="Avenir Light" w:cs="Avenir Light"/>
          <w:b w:val="0"/>
          <w:i w:val="0"/>
          <w:color w:val="0D5F31"/>
          <w:sz w:val="21"/>
        </w:rPr>
        <w:t>Laboratuvarların kullanımı</w:t>
      </w:r>
    </w:p>
    <w:p>
      <w:bookmarkStart w:id="41" w:name="madde_32"/>
      <w:pPr>
        <w:pStyle w:val="ArticleText"/>
      </w:pPr>
      <w:r>
        <w:rPr>
          <w:rFonts w:ascii="Avenir Light" w:hAnsi="Avenir Light" w:eastAsia="Avenir Light" w:cs="Avenir Light"/>
          <w:b w:val="0"/>
          <w:i w:val="0"/>
          <w:color w:val="172126"/>
          <w:sz w:val="19"/>
        </w:rPr>
        <w:t>MADDE 32 – (Değişik:RG-5/2/2021-31386)</w:t>
      </w:r>
      <w:bookmarkEnd w:id="41"/>
    </w:p>
    <w:p>
      <w:pPr>
        <w:pStyle w:val="LegalList"/>
      </w:pPr>
      <w:r>
        <w:rPr>
          <w:rFonts w:ascii="Avenir Light" w:hAnsi="Avenir Light" w:eastAsia="Avenir Light" w:cs="Avenir Light"/>
          <w:b w:val="0"/>
          <w:i w:val="0"/>
          <w:color w:val="172126"/>
          <w:sz w:val="19"/>
        </w:rPr>
        <w:t>(1) İşletme, hesaplama faktörlerinin belirlenmesine yönelik analizler için analitik yöntemle ilgili standartlara göre akredite laboratuvarları kullanır.</w:t>
      </w:r>
    </w:p>
    <w:p>
      <w:pPr>
        <w:pStyle w:val="LegalList"/>
      </w:pPr>
      <w:r>
        <w:rPr>
          <w:rFonts w:ascii="Avenir Light" w:hAnsi="Avenir Light" w:eastAsia="Avenir Light" w:cs="Avenir Light"/>
          <w:b w:val="0"/>
          <w:i w:val="0"/>
          <w:color w:val="172126"/>
          <w:sz w:val="19"/>
        </w:rPr>
        <w:t>(2) Tesise ait akredite olmayan laboratuvarların şartları Bakanlık tarafından belirlenir. Bu laboratuvarlar ayrıca 1/1/2022 tarihinden itibaren her yıl en az bir kez TS EN 17025 standardından ilgili parametreden akredite bir laboratuvar ile sonuçlarını karşılaştırır ve ölçümler açısından en az % 80 oranında yakın sonuç elde edilir.</w:t>
      </w:r>
    </w:p>
    <w:p>
      <w:pPr>
        <w:pStyle w:val="LegalList"/>
      </w:pPr>
      <w:r>
        <w:rPr>
          <w:rFonts w:ascii="Avenir Light" w:hAnsi="Avenir Light" w:eastAsia="Avenir Light" w:cs="Avenir Light"/>
          <w:b w:val="0"/>
          <w:i w:val="0"/>
          <w:color w:val="172126"/>
          <w:sz w:val="19"/>
        </w:rPr>
        <w:t>(3) Kullanılan analiz yöntemine ilişkin karşılaştırma yapılacak herhangi bir akredite laboratuvar bulunmaması durumunda, analiz yöntemi sertifikalı referans malzeme ile doğrulanarak, karşılaştırma gerekliliği yerine getirilir.</w:t>
      </w:r>
    </w:p>
    <w:p>
      <w:pPr>
        <w:pStyle w:val="ArticleTitle"/>
      </w:pPr>
      <w:r>
        <w:rPr>
          <w:rFonts w:ascii="Avenir Light" w:hAnsi="Avenir Light" w:eastAsia="Avenir Light" w:cs="Avenir Light"/>
          <w:b w:val="0"/>
          <w:i w:val="0"/>
          <w:color w:val="0D5F31"/>
          <w:sz w:val="21"/>
        </w:rPr>
        <w:t>Analiz sıklığı</w:t>
      </w:r>
    </w:p>
    <w:p>
      <w:bookmarkStart w:id="42" w:name="madde_33"/>
      <w:pPr>
        <w:pStyle w:val="ArticleText"/>
      </w:pPr>
      <w:r>
        <w:rPr>
          <w:rFonts w:ascii="Avenir Light" w:hAnsi="Avenir Light" w:eastAsia="Avenir Light" w:cs="Avenir Light"/>
          <w:b w:val="0"/>
          <w:i w:val="0"/>
          <w:color w:val="172126"/>
          <w:sz w:val="19"/>
        </w:rPr>
        <w:t xml:space="preserve">MADDE 33 – (1) İşletme ilgili yakıt ve malzemeler için </w:t>
      </w:r>
      <w:hyperlink w:anchor="ek_6" w:history="1">
        <w:r>
          <w:rPr>
            <w:rFonts w:ascii="Avenir Light" w:hAnsi="Avenir Light" w:eastAsia="Avenir Light" w:cs="Avenir Light"/>
            <w:color w:val="188A42"/>
            <w:sz w:val="19"/>
            <w:szCs w:val="19"/>
          </w:rPr>
          <w:t xml:space="preserve">ek-6</w:t>
        </w:r>
      </w:hyperlink>
      <w:r>
        <w:rPr>
          <w:rFonts w:ascii="Avenir Light" w:hAnsi="Avenir Light" w:eastAsia="Avenir Light" w:cs="Avenir Light"/>
          <w:b w:val="0"/>
          <w:i w:val="0"/>
          <w:color w:val="172126"/>
          <w:sz w:val="19"/>
        </w:rPr>
        <w:t>’da listelenen asgari analiz sıklıklarını uygular.</w:t>
      </w:r>
      <w:bookmarkEnd w:id="42"/>
    </w:p>
    <w:p>
      <w:pPr>
        <w:pStyle w:val="LegalList"/>
      </w:pPr>
      <w:r>
        <w:rPr>
          <w:rFonts w:ascii="Avenir Light" w:hAnsi="Avenir Light" w:eastAsia="Avenir Light" w:cs="Avenir Light"/>
          <w:b w:val="0"/>
          <w:i w:val="0"/>
          <w:color w:val="172126"/>
          <w:sz w:val="19"/>
        </w:rPr>
        <w:t xml:space="preserve">(2) (Değişik:RG-5/2/2021-31386) Asgari analiz sıklıklarının elverişli olmadığı veya aşağıdaki durumlardan birinin işletme tarafından kanıtlandığı hallerde Bakanlık bu Tebliğin </w:t>
      </w:r>
      <w:hyperlink w:anchor="ek_6" w:history="1">
        <w:r>
          <w:rPr>
            <w:rFonts w:ascii="Avenir Light" w:hAnsi="Avenir Light" w:eastAsia="Avenir Light" w:cs="Avenir Light"/>
            <w:color w:val="188A42"/>
            <w:sz w:val="19"/>
            <w:szCs w:val="19"/>
          </w:rPr>
          <w:t xml:space="preserve">EK-6</w:t>
        </w:r>
      </w:hyperlink>
      <w:r>
        <w:rPr>
          <w:rFonts w:ascii="Avenir Light" w:hAnsi="Avenir Light" w:eastAsia="Avenir Light" w:cs="Avenir Light"/>
          <w:b w:val="0"/>
          <w:i w:val="0"/>
          <w:color w:val="172126"/>
          <w:sz w:val="19"/>
        </w:rPr>
        <w:t>’sında listelenenlerden farklı bir analiz sıklığı kullanılmasına izin verebilir;</w:t>
      </w:r>
    </w:p>
    <w:p>
      <w:pPr>
        <w:pStyle w:val="LegalList"/>
      </w:pPr>
      <w:r>
        <w:rPr>
          <w:rFonts w:ascii="Avenir Light" w:hAnsi="Avenir Light" w:eastAsia="Avenir Light" w:cs="Avenir Light"/>
          <w:b w:val="0"/>
          <w:i w:val="0"/>
          <w:color w:val="172126"/>
          <w:sz w:val="19"/>
        </w:rPr>
        <w:t>a) Geçmiş veriye dayanarak, mevcut raporlama döneminden bir önceki raporlama dönemine ait analitik değerleri de içeren, söz konusu yakıt veya malzemenin analitik değerlerindeki sapmanın, faaliyet verisinin belirlenmesi ile bağlantılı belirsizlik değerinin 1/3’ünü geçmediği koşullarda,</w:t>
      </w:r>
    </w:p>
    <w:p>
      <w:pPr>
        <w:pStyle w:val="LegalList"/>
      </w:pPr>
      <w:r>
        <w:rPr>
          <w:rFonts w:ascii="Avenir Light" w:hAnsi="Avenir Light" w:eastAsia="Avenir Light" w:cs="Avenir Light"/>
          <w:b w:val="0"/>
          <w:i w:val="0"/>
          <w:color w:val="172126"/>
          <w:sz w:val="19"/>
        </w:rPr>
        <w:t>b) Halihazırda uygulanan analiz sıklığının makul olmayan maliyete yol açtığı durumlarda işletmenin yılın yalnızca bir kısmında çalıştığı veya lotlar halinde sevk edilen yakıt veya malzemenin bir takvim yılından daha uzun sürede tüketildiği durumlarda, analizlere ilişkin (a) fıkrasında verilen belirsizlik hesaplaması ile karşılaştırılabilir sonuçlar içeren, daha az sıklıkları içeren uygun bir takvim uygulanabilir.</w:t>
      </w:r>
    </w:p>
    <w:p>
      <w:pPr>
        <w:pStyle w:val="ArticleTitle"/>
      </w:pPr>
      <w:r>
        <w:rPr>
          <w:rFonts w:ascii="Avenir Light" w:hAnsi="Avenir Light" w:eastAsia="Avenir Light" w:cs="Avenir Light"/>
          <w:b w:val="0"/>
          <w:i w:val="0"/>
          <w:color w:val="0D5F31"/>
          <w:sz w:val="21"/>
        </w:rPr>
        <w:t>(Değişik ibare:RG-5/2/2021-31386) CO 2 için emisyon faktörleri</w:t>
      </w:r>
    </w:p>
    <w:p>
      <w:bookmarkStart w:id="43" w:name="madde_34"/>
      <w:pPr>
        <w:pStyle w:val="ArticleText"/>
      </w:pPr>
      <w:r>
        <w:rPr>
          <w:rFonts w:ascii="Avenir Light" w:hAnsi="Avenir Light" w:eastAsia="Avenir Light" w:cs="Avenir Light"/>
          <w:b w:val="0"/>
          <w:i w:val="0"/>
          <w:color w:val="172126"/>
          <w:sz w:val="19"/>
        </w:rPr>
        <w:t>MADDE 34 – (1) İşletme (Değişik ibare:RG-5/2/2021-31386) CO 2 emisyonları için faaliyet bazlı emisyon faktörleri belirler.</w:t>
      </w:r>
      <w:bookmarkEnd w:id="43"/>
    </w:p>
    <w:p>
      <w:pPr>
        <w:pStyle w:val="LegalList"/>
      </w:pPr>
      <w:r>
        <w:rPr>
          <w:rFonts w:ascii="Avenir Light" w:hAnsi="Avenir Light" w:eastAsia="Avenir Light" w:cs="Avenir Light"/>
          <w:b w:val="0"/>
          <w:i w:val="0"/>
          <w:color w:val="172126"/>
          <w:sz w:val="19"/>
        </w:rPr>
        <w:t>(2) Yakıtlar için emisyon faktörleri t (Değişik ibare:RG-5/2/2021-31386) CO 2 /TJ olarak ifade edilir. Bakanlık, t (Değişik ibare:RG-5/2/2021-31386) CO 2 /TJ olarak ifade edilen bir emisyon faktörünün kullanımının teknik olarak mümkün olmadığı durumlarda veya hesaplanmış emisyonların en az eşdeğer doğruluğunu bu tip bir emisyon faktörü kullanılarak elde edildiği durumda, yanma emisyonları için t (Değişik ibare:RG-5/2/2021-31386) CO 2 /t veya t (Değişik ibare:RG-5/2/2021-31386) CO 2 /Nm3 olarak ifade edilen bir yakıt için emisyon faktörünü kullanmasına yönelik işletmeye izin verebilir.</w:t>
      </w:r>
    </w:p>
    <w:p>
      <w:pPr>
        <w:pStyle w:val="LegalList"/>
      </w:pPr>
      <w:r>
        <w:rPr>
          <w:rFonts w:ascii="Avenir Light" w:hAnsi="Avenir Light" w:eastAsia="Avenir Light" w:cs="Avenir Light"/>
          <w:b w:val="0"/>
          <w:i w:val="0"/>
          <w:color w:val="172126"/>
          <w:sz w:val="19"/>
        </w:rPr>
        <w:t>(3) Karbon içeriğinin, (Değişik ibare:RG-5/2/2021-31386) CO 2 ile ilgili bir emisyon faktörüne dönüştürülmesi veya tersi için işletme 3,664 t (Değişik ibare:RG-5/2/2021-31386) CO 2 /t C katsayısını kullanır.</w:t>
      </w:r>
    </w:p>
    <w:p>
      <w:pPr>
        <w:pStyle w:val="ArticleTitle"/>
      </w:pPr>
      <w:r>
        <w:rPr>
          <w:rFonts w:ascii="Avenir Light" w:hAnsi="Avenir Light" w:eastAsia="Avenir Light" w:cs="Avenir Light"/>
          <w:b w:val="0"/>
          <w:i w:val="0"/>
          <w:color w:val="0D5F31"/>
          <w:sz w:val="21"/>
        </w:rPr>
        <w:t>Yükseltgenme ve dönüşüm faktörleri</w:t>
      </w:r>
    </w:p>
    <w:p>
      <w:bookmarkStart w:id="44" w:name="madde_35"/>
      <w:pPr>
        <w:pStyle w:val="ArticleText"/>
      </w:pPr>
      <w:r>
        <w:rPr>
          <w:rFonts w:ascii="Avenir Light" w:hAnsi="Avenir Light" w:eastAsia="Avenir Light" w:cs="Avenir Light"/>
          <w:b w:val="0"/>
          <w:i w:val="0"/>
          <w:color w:val="172126"/>
          <w:sz w:val="19"/>
        </w:rPr>
        <w:t>MADDE 35 – (1) İşletme yükseltgenme veya dönüşüm faktörleri için en az kademe 1 kullanır. İşletme emisyon faktörünün tamamlanmamış yükseltgenme veya dönüşüm etkisini içerdiği durumda yükseltgenme veya dönüşüm faktörünü 1 olarak kullanır.</w:t>
      </w:r>
      <w:bookmarkEnd w:id="44"/>
    </w:p>
    <w:p>
      <w:pPr>
        <w:pStyle w:val="LegalList"/>
      </w:pPr>
      <w:r>
        <w:rPr>
          <w:rFonts w:ascii="Avenir Light" w:hAnsi="Avenir Light" w:eastAsia="Avenir Light" w:cs="Avenir Light"/>
          <w:b w:val="0"/>
          <w:i w:val="0"/>
          <w:color w:val="172126"/>
          <w:sz w:val="19"/>
        </w:rPr>
        <w:t>(2) Bir tesiste çeşitli yakıtların kullanıldığı ve belirli yükseltgenme faktörü için kademe 3’ün kullanılması gerektiği durumda, işletme aşağıdaki durumlar için Bakanlığın onayını alır:</w:t>
      </w:r>
    </w:p>
    <w:p>
      <w:pPr>
        <w:pStyle w:val="LegalList"/>
      </w:pPr>
      <w:r>
        <w:rPr>
          <w:rFonts w:ascii="Avenir Light" w:hAnsi="Avenir Light" w:eastAsia="Avenir Light" w:cs="Avenir Light"/>
          <w:b w:val="0"/>
          <w:i w:val="0"/>
          <w:color w:val="172126"/>
          <w:sz w:val="19"/>
        </w:rPr>
        <w:t>a) Bütün yanma süreci için bir birleşik yükseltgenme faktörünün belirlenmesi ve bütün yakıtlara uygulanması,</w:t>
      </w:r>
    </w:p>
    <w:p>
      <w:pPr>
        <w:pStyle w:val="LegalList"/>
      </w:pPr>
      <w:r>
        <w:rPr>
          <w:rFonts w:ascii="Avenir Light" w:hAnsi="Avenir Light" w:eastAsia="Avenir Light" w:cs="Avenir Light"/>
          <w:b w:val="0"/>
          <w:i w:val="0"/>
          <w:color w:val="172126"/>
          <w:sz w:val="19"/>
        </w:rPr>
        <w:t>b) Büyük kaynak akışında tamamlanmamış yükseltgenme olduğunun kabulü ve diğer kaynak akışlarında yükseltgenme faktörü olarak 1 değerinin kullanılması.</w:t>
      </w:r>
    </w:p>
    <w:p>
      <w:pPr>
        <w:pStyle w:val="LegalList"/>
      </w:pPr>
      <w:r>
        <w:rPr>
          <w:rFonts w:ascii="Avenir Light" w:hAnsi="Avenir Light" w:eastAsia="Avenir Light" w:cs="Avenir Light"/>
          <w:b w:val="0"/>
          <w:i w:val="0"/>
          <w:color w:val="172126"/>
          <w:sz w:val="19"/>
        </w:rPr>
        <w:t>(3) Biyokütlenin veya karışık yakıtların kullanıldığı durumlarda işletme, ikinci fıkranın</w:t>
      </w:r>
    </w:p>
    <w:p>
      <w:pPr>
        <w:pStyle w:val="LegalList"/>
      </w:pPr>
      <w:r>
        <w:rPr>
          <w:rFonts w:ascii="Avenir Light" w:hAnsi="Avenir Light" w:eastAsia="Avenir Light" w:cs="Avenir Light"/>
          <w:b w:val="0"/>
          <w:i w:val="0"/>
          <w:color w:val="172126"/>
          <w:sz w:val="19"/>
        </w:rPr>
        <w:t>(a) veya (b) bentlerinin uygulanması sonucunda emisyonlarda eksik tahmine yol açılmayacağına dair bilgi ve belgeleri Bakanlığa gönderir.</w:t>
      </w:r>
    </w:p>
    <w:p>
      <w:pPr>
        <w:pStyle w:val="ArticleTitle"/>
      </w:pPr>
      <w:r>
        <w:rPr>
          <w:rFonts w:ascii="Avenir Light" w:hAnsi="Avenir Light" w:eastAsia="Avenir Light" w:cs="Avenir Light"/>
          <w:b w:val="0"/>
          <w:i w:val="0"/>
          <w:color w:val="0D5F31"/>
          <w:sz w:val="21"/>
        </w:rPr>
        <w:t>Biyokütle kaynak akışları</w:t>
      </w:r>
    </w:p>
    <w:p>
      <w:bookmarkStart w:id="45" w:name="madde_36"/>
      <w:pPr>
        <w:pStyle w:val="ArticleText"/>
      </w:pPr>
      <w:r>
        <w:rPr>
          <w:rFonts w:ascii="Avenir Light" w:hAnsi="Avenir Light" w:eastAsia="Avenir Light" w:cs="Avenir Light"/>
          <w:b w:val="0"/>
          <w:i w:val="0"/>
          <w:color w:val="172126"/>
          <w:sz w:val="19"/>
        </w:rPr>
        <w:t>MADDE 36 – (1) İşletme, bir kaynak akışının yalnızca biyokütleyi içerdiği durumda, kademeleri kullanmadan biyokütle içeriği ile ilgili analitik kanıt sunarak, biyokütle kaynak akışlarının faaliyet verisini belirleyebilir. İşletme söz konusu kaynak akışının diğer malzemeler veya yakıtlar ile karışmadığından emin olur.</w:t>
      </w:r>
      <w:bookmarkEnd w:id="45"/>
    </w:p>
    <w:p>
      <w:pPr>
        <w:pStyle w:val="LegalList"/>
      </w:pPr>
      <w:r>
        <w:rPr>
          <w:rFonts w:ascii="Avenir Light" w:hAnsi="Avenir Light" w:eastAsia="Avenir Light" w:cs="Avenir Light"/>
          <w:b w:val="0"/>
          <w:i w:val="0"/>
          <w:color w:val="172126"/>
          <w:sz w:val="19"/>
        </w:rPr>
        <w:t xml:space="preserve">(2) Biyokütlenin emisyon faktörü sıfır olarak kabul edilir. Karışık bir yakıt veya malzemenin emisyon faktörü, </w:t>
      </w:r>
      <w:hyperlink w:anchor="madde_28" w:history="1">
        <w:r>
          <w:rPr>
            <w:rFonts w:ascii="Avenir Light" w:hAnsi="Avenir Light" w:eastAsia="Avenir Light" w:cs="Avenir Light"/>
            <w:color w:val="188A42"/>
            <w:sz w:val="19"/>
            <w:szCs w:val="19"/>
          </w:rPr>
          <w:t xml:space="preserve">28 inci madde</w:t>
        </w:r>
      </w:hyperlink>
      <w:r>
        <w:rPr>
          <w:rFonts w:ascii="Avenir Light" w:hAnsi="Avenir Light" w:eastAsia="Avenir Light" w:cs="Avenir Light"/>
          <w:b w:val="0"/>
          <w:i w:val="0"/>
          <w:color w:val="172126"/>
          <w:sz w:val="19"/>
        </w:rPr>
        <w:t xml:space="preserve"> kapsamında belirlenen ön emisyon faktörünün, yakıt veya malzemenin fosil karbon oranı ile çarpılmasıyla hesaplanır ve raporlanır.</w:t>
      </w:r>
    </w:p>
    <w:p>
      <w:pPr>
        <w:pStyle w:val="LegalList"/>
      </w:pPr>
      <w:r>
        <w:rPr>
          <w:rFonts w:ascii="Avenir Light" w:hAnsi="Avenir Light" w:eastAsia="Avenir Light" w:cs="Avenir Light"/>
          <w:b w:val="0"/>
          <w:i w:val="0"/>
          <w:color w:val="172126"/>
          <w:sz w:val="19"/>
        </w:rPr>
        <w:t>(3) Karışık yakıtların veya malzemelerin turba, ksilit ve fosil karbon oranları biyokütle olarak değerlendirilmez.</w:t>
      </w:r>
    </w:p>
    <w:p>
      <w:pPr>
        <w:pStyle w:val="LegalList"/>
      </w:pPr>
      <w:r>
        <w:rPr>
          <w:rFonts w:ascii="Avenir Light" w:hAnsi="Avenir Light" w:eastAsia="Avenir Light" w:cs="Avenir Light"/>
          <w:b w:val="0"/>
          <w:i w:val="0"/>
          <w:color w:val="172126"/>
          <w:sz w:val="19"/>
        </w:rPr>
        <w:t>(4) (Değişik:RG-5/2/2021-31386) Karışık yakıtların veya malzemelerin biyokütle oranının %97’ye eşit veya daha yüksek olduğu durumlarda veya yakıt veya malzemenin fosil oranından kaynaklı emisyon miktarına bağlı olarak, kaynak akışının önemsiz kaynak akışı olarak nitelendiği durumlarda, faaliyet verisini ve ilgili hesaplama faktörlerini belirlemek için, enerji denge yöntemini dahil ederek asgari yöntem kullanılabilir.</w:t>
      </w:r>
    </w:p>
    <w:p>
      <w:pPr>
        <w:pStyle w:val="ArticleTitle"/>
      </w:pPr>
      <w:r>
        <w:rPr>
          <w:rFonts w:ascii="Avenir Light" w:hAnsi="Avenir Light" w:eastAsia="Avenir Light" w:cs="Avenir Light"/>
          <w:b w:val="0"/>
          <w:i w:val="0"/>
          <w:color w:val="0D5F31"/>
          <w:sz w:val="21"/>
        </w:rPr>
        <w:t>Biyokütle ve fosil karbon oranının belirlenmesi</w:t>
      </w:r>
    </w:p>
    <w:p>
      <w:bookmarkStart w:id="46" w:name="madde_37"/>
      <w:pPr>
        <w:pStyle w:val="ArticleText"/>
      </w:pPr>
      <w:r>
        <w:rPr>
          <w:rFonts w:ascii="Avenir Light" w:hAnsi="Avenir Light" w:eastAsia="Avenir Light" w:cs="Avenir Light"/>
          <w:b w:val="0"/>
          <w:i w:val="0"/>
          <w:color w:val="172126"/>
          <w:sz w:val="19"/>
        </w:rPr>
        <w:t>MADDE 37 – (Değişik:RG-5/2/2021-31386)</w:t>
      </w:r>
      <w:bookmarkEnd w:id="46"/>
    </w:p>
    <w:p>
      <w:pPr>
        <w:pStyle w:val="LegalList"/>
      </w:pPr>
      <w:r>
        <w:rPr>
          <w:rFonts w:ascii="Avenir Light" w:hAnsi="Avenir Light" w:eastAsia="Avenir Light" w:cs="Avenir Light"/>
          <w:b w:val="0"/>
          <w:i w:val="0"/>
          <w:color w:val="172126"/>
          <w:sz w:val="19"/>
        </w:rPr>
        <w:t xml:space="preserve">(1) İşletme, karışık yakıt ve malzemeler için, biyokütle yokmuş gibi kabul ederek fosil oranı %100 olarak hesaplayabilir veya bu Tebliğin </w:t>
      </w:r>
      <w:hyperlink w:anchor="ek_2" w:history="1">
        <w:r>
          <w:rPr>
            <w:rFonts w:ascii="Avenir Light" w:hAnsi="Avenir Light" w:eastAsia="Avenir Light" w:cs="Avenir Light"/>
            <w:color w:val="188A42"/>
            <w:sz w:val="19"/>
            <w:szCs w:val="19"/>
          </w:rPr>
          <w:t xml:space="preserve">EK-2</w:t>
        </w:r>
      </w:hyperlink>
      <w:r>
        <w:rPr>
          <w:rFonts w:ascii="Avenir Light" w:hAnsi="Avenir Light" w:eastAsia="Avenir Light" w:cs="Avenir Light"/>
          <w:b w:val="0"/>
          <w:i w:val="0"/>
          <w:color w:val="172126"/>
          <w:sz w:val="19"/>
        </w:rPr>
        <w:t>’sinde tanımlanan kademeleri uygulayarak ikinci fıkraya göre biyokütle oranını hesaplar.</w:t>
      </w:r>
    </w:p>
    <w:p>
      <w:pPr>
        <w:pStyle w:val="LegalList"/>
      </w:pPr>
      <w:r>
        <w:rPr>
          <w:rFonts w:ascii="Avenir Light" w:hAnsi="Avenir Light" w:eastAsia="Avenir Light" w:cs="Avenir Light"/>
          <w:b w:val="0"/>
          <w:i w:val="0"/>
          <w:color w:val="172126"/>
          <w:sz w:val="19"/>
        </w:rPr>
        <w:t>(2) Kademe seviyesinin gerekliliklerine bağlı olarak, işletme, biyokütle oranını belirlemek için analiz yapar; ancak, birinci fıkranın uygulanması teknik olarak uygulanabilir değilse veya makul olmayan bir maliyete yol açıyorsa, işletme biyokütlenin belirlenmesi için alternatif bir tahmin metodunu kullanabilir. Tanımlanmış ve izlenebilir girdi akışları ile bir üretim prosesi kaynaklı yakıtlar ve malzemeler için işletme, sürece giren ve çıkan fosil ve biyokütle karbonunun kütle dengesi üzerine bu tahmini dayandırır.</w:t>
      </w:r>
    </w:p>
    <w:p>
      <w:pPr>
        <w:pStyle w:val="PartLabel"/>
      </w:pPr>
      <w:r>
        <w:rPr>
          <w:rFonts w:ascii="Avenir Light" w:hAnsi="Avenir Light" w:eastAsia="Avenir Light" w:cs="Avenir Light"/>
          <w:b w:val="0"/>
          <w:i w:val="0"/>
          <w:color w:val="0D5F31"/>
          <w:sz w:val="26"/>
        </w:rPr>
        <w:t>ALTINCI BÖLÜM</w:t>
      </w:r>
    </w:p>
    <w:p>
      <w:pPr>
        <w:pStyle w:val="PartTitle"/>
      </w:pPr>
      <w:r>
        <w:rPr>
          <w:rFonts w:ascii="Avenir Light" w:hAnsi="Avenir Light" w:eastAsia="Avenir Light" w:cs="Avenir Light"/>
          <w:b w:val="0"/>
          <w:i w:val="0"/>
          <w:color w:val="172126"/>
          <w:sz w:val="22"/>
        </w:rPr>
        <w:t>Ölçüm Temelli Yöntem</w:t>
      </w:r>
    </w:p>
    <w:p>
      <w:pPr>
        <w:pStyle w:val="ArticleTitle"/>
      </w:pPr>
      <w:r>
        <w:rPr>
          <w:rFonts w:ascii="Avenir Light" w:hAnsi="Avenir Light" w:eastAsia="Avenir Light" w:cs="Avenir Light"/>
          <w:b w:val="0"/>
          <w:i w:val="0"/>
          <w:color w:val="0D5F31"/>
          <w:sz w:val="21"/>
        </w:rPr>
        <w:t>Ölçüm temelli izleme yönteminin kullanımı</w:t>
      </w:r>
    </w:p>
    <w:p>
      <w:bookmarkStart w:id="47" w:name="madde_38"/>
      <w:pPr>
        <w:pStyle w:val="ArticleText"/>
      </w:pPr>
      <w:r>
        <w:rPr>
          <w:rFonts w:ascii="Avenir Light" w:hAnsi="Avenir Light" w:eastAsia="Avenir Light" w:cs="Avenir Light"/>
          <w:b w:val="0"/>
          <w:i w:val="0"/>
          <w:color w:val="172126"/>
          <w:sz w:val="19"/>
        </w:rPr>
        <w:t xml:space="preserve">MADDE 38 – (1) İşletme </w:t>
      </w:r>
      <w:hyperlink w:anchor="ek_3" w:history="1">
        <w:r>
          <w:rPr>
            <w:rFonts w:ascii="Avenir Light" w:hAnsi="Avenir Light" w:eastAsia="Avenir Light" w:cs="Avenir Light"/>
            <w:color w:val="188A42"/>
            <w:sz w:val="19"/>
            <w:szCs w:val="19"/>
          </w:rPr>
          <w:t xml:space="preserve">ek-3</w:t>
        </w:r>
      </w:hyperlink>
      <w:r>
        <w:rPr>
          <w:rFonts w:ascii="Avenir Light" w:hAnsi="Avenir Light" w:eastAsia="Avenir Light" w:cs="Avenir Light"/>
          <w:b w:val="0"/>
          <w:i w:val="0"/>
          <w:color w:val="172126"/>
          <w:sz w:val="19"/>
        </w:rPr>
        <w:t xml:space="preserve">’te yer alan diazot oksit (N2O) emisyonları ve </w:t>
      </w:r>
      <w:hyperlink w:anchor="madde_47" w:history="1">
        <w:r>
          <w:rPr>
            <w:rFonts w:ascii="Avenir Light" w:hAnsi="Avenir Light" w:eastAsia="Avenir Light" w:cs="Avenir Light"/>
            <w:color w:val="188A42"/>
            <w:sz w:val="19"/>
            <w:szCs w:val="19"/>
          </w:rPr>
          <w:t xml:space="preserve">47 nci madde</w:t>
        </w:r>
      </w:hyperlink>
      <w:r>
        <w:rPr>
          <w:rFonts w:ascii="Avenir Light" w:hAnsi="Avenir Light" w:eastAsia="Avenir Light" w:cs="Avenir Light"/>
          <w:b w:val="0"/>
          <w:i w:val="0"/>
          <w:color w:val="172126"/>
          <w:sz w:val="19"/>
        </w:rPr>
        <w:t xml:space="preserve"> uyarınca transfer edilmiş (Değişik ibare:RG-5/2/2021-31386) CO 2 ’nin miktarını belirlemek için ölçüm temelli yöntemler kullanır. Ayrıca, </w:t>
      </w:r>
      <w:hyperlink w:anchor="madde_39" w:history="1">
        <w:r>
          <w:rPr>
            <w:rFonts w:ascii="Avenir Light" w:hAnsi="Avenir Light" w:eastAsia="Avenir Light" w:cs="Avenir Light"/>
            <w:color w:val="188A42"/>
            <w:sz w:val="19"/>
            <w:szCs w:val="19"/>
          </w:rPr>
          <w:t xml:space="preserve">39 uncu madde</w:t>
        </w:r>
      </w:hyperlink>
      <w:r>
        <w:rPr>
          <w:rFonts w:ascii="Avenir Light" w:hAnsi="Avenir Light" w:eastAsia="Avenir Light" w:cs="Avenir Light"/>
          <w:b w:val="0"/>
          <w:i w:val="0"/>
          <w:color w:val="172126"/>
          <w:sz w:val="19"/>
        </w:rPr>
        <w:t xml:space="preserve"> kapsamında işletme her bir emisyon kaynağı için istenen kademelerin karşılandığına dair belgeleri sağlaması halinde (Değişik ibare:RG-5/2/2021-31386) CO 2 emisyon kaynakları için de ölçüm temelli yöntemleri kullanabilir.</w:t>
      </w:r>
      <w:bookmarkEnd w:id="47"/>
    </w:p>
    <w:p>
      <w:pPr>
        <w:pStyle w:val="ArticleTitle"/>
      </w:pPr>
      <w:r>
        <w:rPr>
          <w:rFonts w:ascii="Avenir Light" w:hAnsi="Avenir Light" w:eastAsia="Avenir Light" w:cs="Avenir Light"/>
          <w:b w:val="0"/>
          <w:i w:val="0"/>
          <w:color w:val="0D5F31"/>
          <w:sz w:val="21"/>
        </w:rPr>
        <w:t>Kademe gereksinimleri</w:t>
      </w:r>
    </w:p>
    <w:p>
      <w:bookmarkStart w:id="48" w:name="madde_39"/>
      <w:pPr>
        <w:pStyle w:val="ArticleText"/>
      </w:pPr>
      <w:r>
        <w:rPr>
          <w:rFonts w:ascii="Avenir Light" w:hAnsi="Avenir Light" w:eastAsia="Avenir Light" w:cs="Avenir Light"/>
          <w:b w:val="0"/>
          <w:i w:val="0"/>
          <w:color w:val="172126"/>
          <w:sz w:val="19"/>
        </w:rPr>
        <w:t xml:space="preserve">MADDE 39 – (1) İşletme, yılda 5000 ton (Değişik ibare:RG-5/2/2021-31386) CO 2 (eşd)’den fazla salım yapan veya tesisin toplam yıllık emisyonuna %10’dan fazla katkıda bulunan her bir emisyon kaynağı için, mutlak emisyon açısından hangisi daha yüksek ise, </w:t>
      </w:r>
      <w:hyperlink w:anchor="ek_7" w:history="1">
        <w:r>
          <w:rPr>
            <w:rFonts w:ascii="Avenir Light" w:hAnsi="Avenir Light" w:eastAsia="Avenir Light" w:cs="Avenir Light"/>
            <w:color w:val="188A42"/>
            <w:sz w:val="19"/>
            <w:szCs w:val="19"/>
          </w:rPr>
          <w:t xml:space="preserve">ek- 7</w:t>
        </w:r>
      </w:hyperlink>
      <w:r>
        <w:rPr>
          <w:rFonts w:ascii="Avenir Light" w:hAnsi="Avenir Light" w:eastAsia="Avenir Light" w:cs="Avenir Light"/>
          <w:b w:val="0"/>
          <w:i w:val="0"/>
          <w:color w:val="172126"/>
          <w:sz w:val="19"/>
        </w:rPr>
        <w:t>’nin birinci bölümünde listelenen en yüksek kademeyi uygular. Diğer emisyon kaynakları için, işletme en yüksek kademeden en az bir kademe daha düşük olanı uygular.</w:t>
      </w:r>
      <w:bookmarkEnd w:id="48"/>
    </w:p>
    <w:p>
      <w:pPr>
        <w:pStyle w:val="LegalList"/>
      </w:pPr>
      <w:r>
        <w:rPr>
          <w:rFonts w:ascii="Avenir Light" w:hAnsi="Avenir Light" w:eastAsia="Avenir Light" w:cs="Avenir Light"/>
          <w:b w:val="0"/>
          <w:i w:val="0"/>
          <w:color w:val="172126"/>
          <w:sz w:val="19"/>
        </w:rPr>
        <w:t xml:space="preserve">(2) İşletme, birinci fıkra kapsamındaki kademe uygulanmasının veya </w:t>
      </w:r>
      <w:hyperlink w:anchor="madde_24" w:history="1">
        <w:r>
          <w:rPr>
            <w:rFonts w:ascii="Avenir Light" w:hAnsi="Avenir Light" w:eastAsia="Avenir Light" w:cs="Avenir Light"/>
            <w:color w:val="188A42"/>
            <w:sz w:val="19"/>
            <w:szCs w:val="19"/>
          </w:rPr>
          <w:t xml:space="preserve">24 üncü madde</w:t>
        </w:r>
      </w:hyperlink>
      <w:r>
        <w:rPr>
          <w:rFonts w:ascii="Avenir Light" w:hAnsi="Avenir Light" w:eastAsia="Avenir Light" w:cs="Avenir Light"/>
          <w:b w:val="0"/>
          <w:i w:val="0"/>
          <w:color w:val="172126"/>
          <w:sz w:val="19"/>
        </w:rPr>
        <w:t xml:space="preserve"> kapsamındaki kademe seviyelerini kullanarak bir hesaplama yönteminin uygulanmasının teknik olarak elverişli olmadığına dair Bakanlığın uygun görüşünü alarak, ilgili emisyon kaynakları için asgari düzeyde kademe 1 olmak üzere en az bir kademe daha düşük olanı uygular.</w:t>
      </w:r>
    </w:p>
    <w:p>
      <w:pPr>
        <w:pStyle w:val="ArticleTitle"/>
      </w:pPr>
      <w:r>
        <w:rPr>
          <w:rFonts w:ascii="Avenir Light" w:hAnsi="Avenir Light" w:eastAsia="Avenir Light" w:cs="Avenir Light"/>
          <w:b w:val="0"/>
          <w:i w:val="0"/>
          <w:color w:val="0D5F31"/>
          <w:sz w:val="21"/>
        </w:rPr>
        <w:t>Ölçüm standartları ve laboratuvarlar</w:t>
      </w:r>
    </w:p>
    <w:p>
      <w:bookmarkStart w:id="49" w:name="madde_40"/>
      <w:pPr>
        <w:pStyle w:val="ArticleText"/>
      </w:pPr>
      <w:r>
        <w:rPr>
          <w:rFonts w:ascii="Avenir Light" w:hAnsi="Avenir Light" w:eastAsia="Avenir Light" w:cs="Avenir Light"/>
          <w:b w:val="0"/>
          <w:i w:val="0"/>
          <w:color w:val="172126"/>
          <w:sz w:val="19"/>
        </w:rPr>
        <w:t>MADDE 40 – (Değişik:RG-5/2/2021-31386)</w:t>
      </w:r>
      <w:bookmarkEnd w:id="49"/>
    </w:p>
    <w:p>
      <w:pPr>
        <w:pStyle w:val="LegalList"/>
      </w:pPr>
      <w:r>
        <w:rPr>
          <w:rFonts w:ascii="Avenir Light" w:hAnsi="Avenir Light" w:eastAsia="Avenir Light" w:cs="Avenir Light"/>
          <w:b w:val="0"/>
          <w:i w:val="0"/>
          <w:color w:val="172126"/>
          <w:sz w:val="19"/>
        </w:rPr>
        <w:t>(1) Bütün ölçümler, TS EN 14181 standardı hükümleri uyarınca yürütülür. İşletme, sürekli emisyon ölçüm sistemlerinin (SEÖS) TS EN 15259 standardına uygun olarak belirlenmiş bacadaki yeri, kalibrasyonu, ölçümü, kalite güvencesi ve kalite kontrolünü de dâhil ederek sürekli ölçüm sisteminin bütün yönlerini dikkate alır.</w:t>
      </w:r>
    </w:p>
    <w:p>
      <w:pPr>
        <w:pStyle w:val="ArticleTitle"/>
      </w:pPr>
      <w:r>
        <w:rPr>
          <w:rFonts w:ascii="Avenir Light" w:hAnsi="Avenir Light" w:eastAsia="Avenir Light" w:cs="Avenir Light"/>
          <w:b w:val="0"/>
          <w:i w:val="0"/>
          <w:color w:val="0D5F31"/>
          <w:sz w:val="21"/>
        </w:rPr>
        <w:t>Emisyonların belirlenmesi</w:t>
      </w:r>
    </w:p>
    <w:p>
      <w:bookmarkStart w:id="50" w:name="madde_41"/>
      <w:pPr>
        <w:pStyle w:val="ArticleText"/>
      </w:pPr>
      <w:r>
        <w:rPr>
          <w:rFonts w:ascii="Avenir Light" w:hAnsi="Avenir Light" w:eastAsia="Avenir Light" w:cs="Avenir Light"/>
          <w:b w:val="0"/>
          <w:i w:val="0"/>
          <w:color w:val="172126"/>
          <w:sz w:val="19"/>
        </w:rPr>
        <w:t xml:space="preserve">MADDE 41 – (1) Saatlik değerler, ilgili işlem saatinin tüm ölçüm sonuçlarının ortalaması olacak şekilde belirlendiğinde, gaz akışının saatlik değerleri ile çarpılan ölçülmüş sera gazı konsantrasyonunun bütün saatlik değerleri tüm raporlama dönemi için toplanır ve raporlama dönemindeki emisyon kaynağından çıkan yıllık emisyonlar belirlenir. (Değişik ibare:RG- 5/2/2021-31386) CO 2 emisyonları için, işletme </w:t>
      </w:r>
      <w:hyperlink w:anchor="ek_7" w:history="1">
        <w:r>
          <w:rPr>
            <w:rFonts w:ascii="Avenir Light" w:hAnsi="Avenir Light" w:eastAsia="Avenir Light" w:cs="Avenir Light"/>
            <w:color w:val="188A42"/>
            <w:sz w:val="19"/>
            <w:szCs w:val="19"/>
          </w:rPr>
          <w:t xml:space="preserve">ek-7</w:t>
        </w:r>
      </w:hyperlink>
      <w:r>
        <w:rPr>
          <w:rFonts w:ascii="Avenir Light" w:hAnsi="Avenir Light" w:eastAsia="Avenir Light" w:cs="Avenir Light"/>
          <w:b w:val="0"/>
          <w:i w:val="0"/>
          <w:color w:val="172126"/>
          <w:sz w:val="19"/>
        </w:rPr>
        <w:t xml:space="preserve">’sideki 1 inci denklemi kullanarak yıllık emisyonu belirler. Atmosfere salınan CO, (Değişik ibare:RG-5/2/2021-31386) CO 2 ’nin molar eşdeğer miktarı olarak değerlendirilir. Diazot oksit (N2O) için, işletme </w:t>
      </w:r>
      <w:hyperlink w:anchor="ek_3" w:history="1">
        <w:r>
          <w:rPr>
            <w:rFonts w:ascii="Avenir Light" w:hAnsi="Avenir Light" w:eastAsia="Avenir Light" w:cs="Avenir Light"/>
            <w:color w:val="188A42"/>
            <w:sz w:val="19"/>
            <w:szCs w:val="19"/>
          </w:rPr>
          <w:t xml:space="preserve">ek-3</w:t>
        </w:r>
      </w:hyperlink>
      <w:r>
        <w:rPr>
          <w:rFonts w:ascii="Avenir Light" w:hAnsi="Avenir Light" w:eastAsia="Avenir Light" w:cs="Avenir Light"/>
          <w:b w:val="0"/>
          <w:i w:val="0"/>
          <w:color w:val="172126"/>
          <w:sz w:val="19"/>
        </w:rPr>
        <w:t>’ün onaltıncı bölümünün B.1 alt paragrafındaki denklemi kullanarak yıllık emisyonlarını belirler.</w:t>
      </w:r>
      <w:bookmarkEnd w:id="50"/>
    </w:p>
    <w:p>
      <w:pPr>
        <w:pStyle w:val="LegalList"/>
      </w:pPr>
      <w:r>
        <w:rPr>
          <w:rFonts w:ascii="Avenir Light" w:hAnsi="Avenir Light" w:eastAsia="Avenir Light" w:cs="Avenir Light"/>
          <w:b w:val="0"/>
          <w:i w:val="0"/>
          <w:color w:val="172126"/>
          <w:sz w:val="19"/>
        </w:rPr>
        <w:t>(2) Bir tesiste çeşitli emisyon kaynaklarının olduğu ve tek bir emisyon kaynağı olarak ölçülemeyeceği durumda, işletme bu kaynaklardan gelen emisyonları ayrı ayrı ölçer ve raporlama dönemi boyunca söz konusu gazın toplam emisyonlarını elde etmek için sonuçları toplar.</w:t>
      </w:r>
    </w:p>
    <w:p>
      <w:pPr>
        <w:pStyle w:val="LegalList"/>
      </w:pPr>
      <w:r>
        <w:rPr>
          <w:rFonts w:ascii="Avenir Light" w:hAnsi="Avenir Light" w:eastAsia="Avenir Light" w:cs="Avenir Light"/>
          <w:b w:val="0"/>
          <w:i w:val="0"/>
          <w:color w:val="172126"/>
          <w:sz w:val="19"/>
        </w:rPr>
        <w:t>(3) İşletme aşağıdaki yöntemlerden biri ile temsili bir noktada sürekli ölçüm yoluyla baca gazındaki sera gazı konsantrasyonunu belirler:</w:t>
      </w:r>
    </w:p>
    <w:p>
      <w:pPr>
        <w:pStyle w:val="LegalList"/>
      </w:pPr>
      <w:r>
        <w:rPr>
          <w:rFonts w:ascii="Avenir Light" w:hAnsi="Avenir Light" w:eastAsia="Avenir Light" w:cs="Avenir Light"/>
          <w:b w:val="0"/>
          <w:i w:val="0"/>
          <w:color w:val="172126"/>
          <w:sz w:val="19"/>
        </w:rPr>
        <w:t>a) Doğrudan ölçüm,</w:t>
      </w:r>
    </w:p>
    <w:p>
      <w:pPr>
        <w:pStyle w:val="LegalList"/>
      </w:pPr>
      <w:r>
        <w:rPr>
          <w:rFonts w:ascii="Avenir Light" w:hAnsi="Avenir Light" w:eastAsia="Avenir Light" w:cs="Avenir Light"/>
          <w:b w:val="0"/>
          <w:i w:val="0"/>
          <w:color w:val="172126"/>
          <w:sz w:val="19"/>
        </w:rPr>
        <w:t xml:space="preserve">b) Baca gazında yüksek konsantrasyon olması durumunda, </w:t>
      </w:r>
      <w:hyperlink w:anchor="ek_7" w:history="1">
        <w:r>
          <w:rPr>
            <w:rFonts w:ascii="Avenir Light" w:hAnsi="Avenir Light" w:eastAsia="Avenir Light" w:cs="Avenir Light"/>
            <w:color w:val="188A42"/>
            <w:sz w:val="19"/>
            <w:szCs w:val="19"/>
          </w:rPr>
          <w:t xml:space="preserve">ek-7</w:t>
        </w:r>
      </w:hyperlink>
      <w:r>
        <w:rPr>
          <w:rFonts w:ascii="Avenir Light" w:hAnsi="Avenir Light" w:eastAsia="Avenir Light" w:cs="Avenir Light"/>
          <w:b w:val="0"/>
          <w:i w:val="0"/>
          <w:color w:val="172126"/>
          <w:sz w:val="19"/>
        </w:rPr>
        <w:t>’de yer alan 3 üncü denklemi uygulayan dolaylı konsantrasyon ölçümünü kullanarak ve işletmenin izleme planında ortaya konan gaz akışının diğer bileşenlerinin ölçülmüş konsantrasyon değerlerini dikkate alarak hesaplama.</w:t>
      </w:r>
    </w:p>
    <w:p>
      <w:pPr>
        <w:pStyle w:val="LegalList"/>
      </w:pPr>
      <w:r>
        <w:rPr>
          <w:rFonts w:ascii="Avenir Light" w:hAnsi="Avenir Light" w:eastAsia="Avenir Light" w:cs="Avenir Light"/>
          <w:b w:val="0"/>
          <w:i w:val="0"/>
          <w:color w:val="172126"/>
          <w:sz w:val="19"/>
        </w:rPr>
        <w:t>(4) İlgili olduğu durumlarda, işletme hesaplama temelli izleme yöntemlerini kullanarak biyokütleden kaynaklı (Değişik ibare:RG-5/2/2021-31386) CO 2 miktarını ayrı ayrı belirler ve toplam ölçülmüş (Değişik ibare:RG-5/2/2021-31386) CO 2 emisyonlarından çıkartır.</w:t>
      </w:r>
    </w:p>
    <w:p>
      <w:pPr>
        <w:pStyle w:val="LegalList"/>
      </w:pPr>
      <w:r>
        <w:rPr>
          <w:rFonts w:ascii="Avenir Light" w:hAnsi="Avenir Light" w:eastAsia="Avenir Light" w:cs="Avenir Light"/>
          <w:b w:val="0"/>
          <w:i w:val="0"/>
          <w:color w:val="172126"/>
          <w:sz w:val="19"/>
        </w:rPr>
        <w:t>(5) İşletme aşağıdaki yöntemlerden birini kullanarak bu maddenin birinci fıkrası kapsamındaki hesaplama için baca gazı akışını tespit eder:</w:t>
      </w:r>
    </w:p>
    <w:p>
      <w:pPr>
        <w:pStyle w:val="LegalList"/>
      </w:pPr>
      <w:r>
        <w:rPr>
          <w:rFonts w:ascii="Avenir Light" w:hAnsi="Avenir Light" w:eastAsia="Avenir Light" w:cs="Avenir Light"/>
          <w:b w:val="0"/>
          <w:i w:val="0"/>
          <w:color w:val="172126"/>
          <w:sz w:val="19"/>
        </w:rPr>
        <w:t>a) İşletme, kütle dengesi yöntemi ile hesaplamada, çıkış tarafında en azından ürün çıktıları ve O2, SO2 ve NOx konsantrasyonlarının dahil edilmesine ek olarak (Değişik ibare:RG- 5/2/2021-31386) CO 2 emisyonları için girdi tarafında da en azından malzeme yükleri, giriş hava akımı ve proses verimini de içerecek şekilde girişteki bütün önemli parametreleri dikkate alır,</w:t>
      </w:r>
    </w:p>
    <w:p>
      <w:pPr>
        <w:pStyle w:val="LegalList"/>
      </w:pPr>
      <w:r>
        <w:rPr>
          <w:rFonts w:ascii="Avenir Light" w:hAnsi="Avenir Light" w:eastAsia="Avenir Light" w:cs="Avenir Light"/>
          <w:b w:val="0"/>
          <w:i w:val="0"/>
          <w:color w:val="172126"/>
          <w:sz w:val="19"/>
        </w:rPr>
        <w:t>b) Temsili bir noktada sürekli akış ölçümü yapar.</w:t>
      </w:r>
    </w:p>
    <w:p>
      <w:pPr>
        <w:pStyle w:val="ArticleTitle"/>
      </w:pPr>
      <w:r>
        <w:rPr>
          <w:rFonts w:ascii="Avenir Light" w:hAnsi="Avenir Light" w:eastAsia="Avenir Light" w:cs="Avenir Light"/>
          <w:b w:val="0"/>
          <w:i w:val="0"/>
          <w:color w:val="0D5F31"/>
          <w:sz w:val="21"/>
        </w:rPr>
        <w:t>Veri toplanması</w:t>
      </w:r>
    </w:p>
    <w:p>
      <w:bookmarkStart w:id="51" w:name="madde_42"/>
      <w:pPr>
        <w:pStyle w:val="ArticleText"/>
      </w:pPr>
      <w:r>
        <w:rPr>
          <w:rFonts w:ascii="Avenir Light" w:hAnsi="Avenir Light" w:eastAsia="Avenir Light" w:cs="Avenir Light"/>
          <w:b w:val="0"/>
          <w:i w:val="0"/>
          <w:color w:val="172126"/>
          <w:sz w:val="19"/>
        </w:rPr>
        <w:t xml:space="preserve">MADDE 42 – (1) İşletme, ölçüm temelli yöntemleri kullanarak emisyonları belirlemek amacıyla, ölçüm saatinde mevcut olan bütün veri noktalarını kullanarak, konsantrasyon ve baca gazı akışını da içeren her bir parametre için saatlik ortalamaları hesaplar. İşletme, ilave maliyet getirmemesi halinde, daha kısa referans süreleri için veri üretebildiğinde, </w:t>
      </w:r>
      <w:hyperlink w:anchor="madde_41" w:history="1">
        <w:r>
          <w:rPr>
            <w:rFonts w:ascii="Avenir Light" w:hAnsi="Avenir Light" w:eastAsia="Avenir Light" w:cs="Avenir Light"/>
            <w:color w:val="188A42"/>
            <w:sz w:val="19"/>
            <w:szCs w:val="19"/>
          </w:rPr>
          <w:t xml:space="preserve">41 inci madde</w:t>
        </w:r>
      </w:hyperlink>
      <w:r>
        <w:rPr>
          <w:rFonts w:ascii="Avenir Light" w:hAnsi="Avenir Light" w:eastAsia="Avenir Light" w:cs="Avenir Light"/>
          <w:b w:val="0"/>
          <w:i w:val="0"/>
          <w:color w:val="172126"/>
          <w:sz w:val="19"/>
        </w:rPr>
        <w:t>nin birinci fıkrası kapsamında yıllık emisyonların belirlenmesi için bu süreleri kullanır.</w:t>
      </w:r>
      <w:bookmarkEnd w:id="51"/>
    </w:p>
    <w:p>
      <w:pPr>
        <w:pStyle w:val="LegalList"/>
      </w:pPr>
      <w:r>
        <w:rPr>
          <w:rFonts w:ascii="Avenir Light" w:hAnsi="Avenir Light" w:eastAsia="Avenir Light" w:cs="Avenir Light"/>
          <w:b w:val="0"/>
          <w:i w:val="0"/>
          <w:color w:val="172126"/>
          <w:sz w:val="19"/>
        </w:rPr>
        <w:t xml:space="preserve">(2) Bir parametre için sürekli ölçüm ekipmanının, birinci fıkra kapsamındaki ölçüm saatinin bir kısmı veya referans süresinde, kontrol dışı, kapsam dışı veya işletim dışı olduğu durumlarda, işletme bir parametre için veri noktalarının azami sayısının en az %80’inin sağlaması kaydı ile bu ölçüm saati veya daha kısa referans süresi boyunca kalan veri noktasına orantılı saatlik ortalamayı hesaplar. En az %80 veri noktasının sağlanamadığı durumlarda, </w:t>
      </w:r>
      <w:hyperlink w:anchor="madde_43" w:history="1">
        <w:r>
          <w:rPr>
            <w:rFonts w:ascii="Avenir Light" w:hAnsi="Avenir Light" w:eastAsia="Avenir Light" w:cs="Avenir Light"/>
            <w:color w:val="188A42"/>
            <w:sz w:val="19"/>
            <w:szCs w:val="19"/>
          </w:rPr>
          <w:t xml:space="preserve">43 üncü madde</w:t>
        </w:r>
      </w:hyperlink>
      <w:r>
        <w:rPr>
          <w:rFonts w:ascii="Avenir Light" w:hAnsi="Avenir Light" w:eastAsia="Avenir Light" w:cs="Avenir Light"/>
          <w:b w:val="0"/>
          <w:i w:val="0"/>
          <w:color w:val="172126"/>
          <w:sz w:val="19"/>
        </w:rPr>
        <w:t>nin ikinci, üçüncü ve dördüncü fıkraları uygulanır.</w:t>
      </w:r>
    </w:p>
    <w:p>
      <w:pPr>
        <w:pStyle w:val="ArticleTitle"/>
      </w:pPr>
      <w:r>
        <w:rPr>
          <w:rFonts w:ascii="Avenir Light" w:hAnsi="Avenir Light" w:eastAsia="Avenir Light" w:cs="Avenir Light"/>
          <w:b w:val="0"/>
          <w:i w:val="0"/>
          <w:color w:val="0D5F31"/>
          <w:sz w:val="21"/>
        </w:rPr>
        <w:t>Kayıp veri</w:t>
      </w:r>
    </w:p>
    <w:p>
      <w:bookmarkStart w:id="52" w:name="madde_43"/>
      <w:pPr>
        <w:pStyle w:val="ArticleText"/>
      </w:pPr>
      <w:r>
        <w:rPr>
          <w:rFonts w:ascii="Avenir Light" w:hAnsi="Avenir Light" w:eastAsia="Avenir Light" w:cs="Avenir Light"/>
          <w:b w:val="0"/>
          <w:i w:val="0"/>
          <w:color w:val="172126"/>
          <w:sz w:val="19"/>
        </w:rPr>
        <w:t>MADDE 43 – (1) Sürekli emisyon izleme sistemindeki ölçüm ekipmanının bir kısmının, bir takvim yılı içinde beş ardışık gün boyunca işletim dışı kaldığı durumlarda, işletme Bakanlığı derhal bilgilendirir ve etkilenen sürekli emisyon izleme sistemin kalitesini arttırmak için uygun önlemleri alır.</w:t>
      </w:r>
      <w:bookmarkEnd w:id="52"/>
    </w:p>
    <w:p>
      <w:pPr>
        <w:pStyle w:val="LegalList"/>
      </w:pPr>
      <w:r>
        <w:rPr>
          <w:rFonts w:ascii="Avenir Light" w:hAnsi="Avenir Light" w:eastAsia="Avenir Light" w:cs="Avenir Light"/>
          <w:b w:val="0"/>
          <w:i w:val="0"/>
          <w:color w:val="172126"/>
          <w:sz w:val="19"/>
        </w:rPr>
        <w:t xml:space="preserve">(2) Kontrol dışı, aralık dışı veya işletim dışı ekipmana bağlı olarak ölçüm bazlı yöntem ile bir veya daha fazla parametre için </w:t>
      </w:r>
      <w:hyperlink w:anchor="madde_42" w:history="1">
        <w:r>
          <w:rPr>
            <w:rFonts w:ascii="Avenir Light" w:hAnsi="Avenir Light" w:eastAsia="Avenir Light" w:cs="Avenir Light"/>
            <w:color w:val="188A42"/>
            <w:sz w:val="19"/>
            <w:szCs w:val="19"/>
          </w:rPr>
          <w:t xml:space="preserve">42 nci madde</w:t>
        </w:r>
      </w:hyperlink>
      <w:r>
        <w:rPr>
          <w:rFonts w:ascii="Avenir Light" w:hAnsi="Avenir Light" w:eastAsia="Avenir Light" w:cs="Avenir Light"/>
          <w:b w:val="0"/>
          <w:i w:val="0"/>
          <w:color w:val="172126"/>
          <w:sz w:val="19"/>
        </w:rPr>
        <w:t>nin birinci fıkrası kapsamındaki veri için geçerli bir saat veya daha kısa bir referans süresi belirlenemediği durumlarda işletme her kayıp saat verisi için ikame değerler belirler.</w:t>
      </w:r>
    </w:p>
    <w:p>
      <w:pPr>
        <w:pStyle w:val="LegalList"/>
      </w:pPr>
      <w:r>
        <w:rPr>
          <w:rFonts w:ascii="Avenir Light" w:hAnsi="Avenir Light" w:eastAsia="Avenir Light" w:cs="Avenir Light"/>
          <w:b w:val="0"/>
          <w:i w:val="0"/>
          <w:color w:val="172126"/>
          <w:sz w:val="19"/>
        </w:rPr>
        <w:t xml:space="preserve">(3) Doğrudan konsantrasyon olarak ölçülen bir parametre için verinin geçerli saati veya daha kısa bir referans süresi sağlanamadığı durumlarda, işletme </w:t>
      </w:r>
      <w:hyperlink w:anchor="ek_7" w:history="1">
        <w:r>
          <w:rPr>
            <w:rFonts w:ascii="Avenir Light" w:hAnsi="Avenir Light" w:eastAsia="Avenir Light" w:cs="Avenir Light"/>
            <w:color w:val="188A42"/>
            <w:sz w:val="19"/>
            <w:szCs w:val="19"/>
          </w:rPr>
          <w:t xml:space="preserve">ek-7</w:t>
        </w:r>
      </w:hyperlink>
      <w:r>
        <w:rPr>
          <w:rFonts w:ascii="Avenir Light" w:hAnsi="Avenir Light" w:eastAsia="Avenir Light" w:cs="Avenir Light"/>
          <w:b w:val="0"/>
          <w:i w:val="0"/>
          <w:color w:val="172126"/>
          <w:sz w:val="19"/>
        </w:rPr>
        <w:t>’de yer alan 4 üncü denklemi kullanarak, ortalama bir konsantrasyon ve bu ortalama ile bağlantılı standart sapmanın iki katını toplayarak bir ikame değer hesaplar. Tesiste önemli teknik değişikliklerden ötürü, söz konusu ikame değerlerin belirlenmesi için raporlama döneminin geçerli olmadığı durumda, işletme, mümkün olduğu durumda bir yıllık süre ile ortalama ve standart sapmanın belirlenmesine yönelik temsili bir zaman zarfını belirleyerek Bakanlığa bildirir.</w:t>
      </w:r>
    </w:p>
    <w:p>
      <w:pPr>
        <w:pStyle w:val="LegalList"/>
      </w:pPr>
      <w:r>
        <w:rPr>
          <w:rFonts w:ascii="Avenir Light" w:hAnsi="Avenir Light" w:eastAsia="Avenir Light" w:cs="Avenir Light"/>
          <w:b w:val="0"/>
          <w:i w:val="0"/>
          <w:color w:val="172126"/>
          <w:sz w:val="19"/>
        </w:rPr>
        <w:t>(4) Konsantrasyon dışında bir parametre için bir saatlik geçerli verinin temin edilemediği durumda işletme, söz konusu parametrenin ikame değerlerini, uygun bir kütle denge modelinden veya prosesin enerji dengesinden elde eder. İşletme, veri boşluğu ile aynı süreli bir zaman periyodundaki düzenli çalışma koşullarındaki veriyi ve ölçüm temelli yöntemin geriye kalan ölçülmüş parametrelerini kullanarak sonuçları doğrular.</w:t>
      </w:r>
    </w:p>
    <w:p>
      <w:pPr>
        <w:pStyle w:val="ArticleTitle"/>
      </w:pPr>
      <w:r>
        <w:rPr>
          <w:rFonts w:ascii="Avenir Light" w:hAnsi="Avenir Light" w:eastAsia="Avenir Light" w:cs="Avenir Light"/>
          <w:b w:val="0"/>
          <w:i w:val="0"/>
          <w:color w:val="0D5F31"/>
          <w:sz w:val="21"/>
        </w:rPr>
        <w:t>Emisyon hesabının teyidi</w:t>
      </w:r>
    </w:p>
    <w:p>
      <w:bookmarkStart w:id="53" w:name="madde_44"/>
      <w:pPr>
        <w:pStyle w:val="ArticleText"/>
      </w:pPr>
      <w:r>
        <w:rPr>
          <w:rFonts w:ascii="Avenir Light" w:hAnsi="Avenir Light" w:eastAsia="Avenir Light" w:cs="Avenir Light"/>
          <w:b w:val="0"/>
          <w:i w:val="0"/>
          <w:color w:val="172126"/>
          <w:sz w:val="19"/>
        </w:rPr>
        <w:t>MADDE 44 – (1) İşletme, nitrik asit üretiminden kaynaklanan N2O emisyonları ve transfer edilen sera gazları hariç olmak üzere, aynı emisyon kaynakları ve kaynak akışları için değerlendirilen her bir sera gazının yıllık emisyonlarını hesaplayarak, ölçüm temelli yöntem ile belirlenen emisyonlar ile karşılaştırarak kontrolünü yapar. Kademe yönteminin kullanımı gerekli değildir.</w:t>
      </w:r>
      <w:bookmarkEnd w:id="53"/>
    </w:p>
    <w:p>
      <w:pPr>
        <w:pStyle w:val="PartLabel"/>
      </w:pPr>
      <w:r>
        <w:rPr>
          <w:rFonts w:ascii="Avenir Light" w:hAnsi="Avenir Light" w:eastAsia="Avenir Light" w:cs="Avenir Light"/>
          <w:b w:val="0"/>
          <w:i w:val="0"/>
          <w:color w:val="0D5F31"/>
          <w:sz w:val="26"/>
        </w:rPr>
        <w:t>YEDİNCİ BÖLÜM</w:t>
      </w:r>
    </w:p>
    <w:p>
      <w:pPr>
        <w:pStyle w:val="PartTitle"/>
      </w:pPr>
      <w:r>
        <w:rPr>
          <w:rFonts w:ascii="Avenir Light" w:hAnsi="Avenir Light" w:eastAsia="Avenir Light" w:cs="Avenir Light"/>
          <w:b w:val="0"/>
          <w:i w:val="0"/>
          <w:color w:val="172126"/>
          <w:sz w:val="22"/>
        </w:rPr>
        <w:t>Özel Hükümler</w:t>
      </w:r>
    </w:p>
    <w:p>
      <w:pPr>
        <w:pStyle w:val="ArticleTitle"/>
      </w:pPr>
      <w:r>
        <w:rPr>
          <w:rFonts w:ascii="Avenir Light" w:hAnsi="Avenir Light" w:eastAsia="Avenir Light" w:cs="Avenir Light"/>
          <w:b w:val="0"/>
          <w:i w:val="0"/>
          <w:color w:val="0D5F31"/>
          <w:sz w:val="21"/>
        </w:rPr>
        <w:t>Düşük emisyona sahip tesisler</w:t>
      </w:r>
    </w:p>
    <w:p>
      <w:bookmarkStart w:id="54" w:name="madde_45"/>
      <w:pPr>
        <w:pStyle w:val="ArticleText"/>
      </w:pPr>
      <w:r>
        <w:rPr>
          <w:rFonts w:ascii="Avenir Light" w:hAnsi="Avenir Light" w:eastAsia="Avenir Light" w:cs="Avenir Light"/>
          <w:b w:val="0"/>
          <w:i w:val="0"/>
          <w:color w:val="172126"/>
          <w:sz w:val="19"/>
        </w:rPr>
        <w:t xml:space="preserve">MADDE 45 – (1) Bakanlık, </w:t>
      </w:r>
      <w:hyperlink w:anchor="madde_12" w:history="1">
        <w:r>
          <w:rPr>
            <w:rFonts w:ascii="Avenir Light" w:hAnsi="Avenir Light" w:eastAsia="Avenir Light" w:cs="Avenir Light"/>
            <w:color w:val="188A42"/>
            <w:sz w:val="19"/>
            <w:szCs w:val="19"/>
          </w:rPr>
          <w:t xml:space="preserve">12 nci madde</w:t>
        </w:r>
      </w:hyperlink>
      <w:r>
        <w:rPr>
          <w:rFonts w:ascii="Avenir Light" w:hAnsi="Avenir Light" w:eastAsia="Avenir Light" w:cs="Avenir Light"/>
          <w:b w:val="0"/>
          <w:i w:val="0"/>
          <w:color w:val="172126"/>
          <w:sz w:val="19"/>
        </w:rPr>
        <w:t xml:space="preserve"> kapsamında düşük emisyona sahip bir tesise, basitleştirilmiş bir izleme planı göndermesi için izin verebilir. Ancak bu muafiyet, Yönetmeliğin </w:t>
      </w:r>
      <w:hyperlink w:anchor="ek_1" w:history="1">
        <w:r>
          <w:rPr>
            <w:rFonts w:ascii="Avenir Light" w:hAnsi="Avenir Light" w:eastAsia="Avenir Light" w:cs="Avenir Light"/>
            <w:color w:val="188A42"/>
            <w:sz w:val="19"/>
            <w:szCs w:val="19"/>
          </w:rPr>
          <w:t xml:space="preserve">ek-1</w:t>
        </w:r>
      </w:hyperlink>
      <w:r>
        <w:rPr>
          <w:rFonts w:ascii="Avenir Light" w:hAnsi="Avenir Light" w:eastAsia="Avenir Light" w:cs="Avenir Light"/>
          <w:b w:val="0"/>
          <w:i w:val="0"/>
          <w:color w:val="172126"/>
          <w:sz w:val="19"/>
        </w:rPr>
        <w:t>’inde yer alan ve N2O emisyonuna neden olan faaliyetleri yürüten tesisler için uygulanmaz.</w:t>
      </w:r>
      <w:bookmarkEnd w:id="54"/>
    </w:p>
    <w:p>
      <w:pPr>
        <w:pStyle w:val="LegalList"/>
      </w:pPr>
      <w:r>
        <w:rPr>
          <w:rFonts w:ascii="Avenir Light" w:hAnsi="Avenir Light" w:eastAsia="Avenir Light" w:cs="Avenir Light"/>
          <w:b w:val="0"/>
          <w:i w:val="0"/>
          <w:color w:val="172126"/>
          <w:sz w:val="19"/>
        </w:rPr>
        <w:t>(2) (Değişik:RG-5/2/2021-31386) Birinci fıkra kapsamında, bir tesis aşağıdaki koşullardan en az birini sağlaması halinde düşük emisyona sahip tesis olarak değerlendirilir:</w:t>
      </w:r>
    </w:p>
    <w:p>
      <w:pPr>
        <w:pStyle w:val="LegalList"/>
      </w:pPr>
      <w:r>
        <w:rPr>
          <w:rFonts w:ascii="Avenir Light" w:hAnsi="Avenir Light" w:eastAsia="Avenir Light" w:cs="Avenir Light"/>
          <w:b w:val="0"/>
          <w:i w:val="0"/>
          <w:color w:val="172126"/>
          <w:sz w:val="19"/>
        </w:rPr>
        <w:t>a) Biyokütleden kaynaklanan CO 2 hariç ve transfer edilen CO 2 dahil, mevcut izleme döneminden önceki 5 izleme dönemi süresince doğrulanmış emisyon raporundaki yıllık emisyonları 25000 ton CO 2 (eşd)’den az olan kategori A tesis.</w:t>
      </w:r>
    </w:p>
    <w:p>
      <w:pPr>
        <w:pStyle w:val="LegalList"/>
      </w:pPr>
      <w:r>
        <w:rPr>
          <w:rFonts w:ascii="Avenir Light" w:hAnsi="Avenir Light" w:eastAsia="Avenir Light" w:cs="Avenir Light"/>
          <w:b w:val="0"/>
          <w:i w:val="0"/>
          <w:color w:val="172126"/>
          <w:sz w:val="19"/>
        </w:rPr>
        <w:t>b) (a) bendi kapsamındaki ortalama yıllık emisyon hesaplarının mevcut olmaması veya tesisin sınırlarındaki değişiklikler veya tesisin işletim koşullarındaki değişiklikler nedeniyle geçerli olmaması halinde, biyokütleden kaynaklanan CO 2 hariç ve transfer edilen CO 2 dâhil, ihtiyatlı tahmin yöntemine göre gelecek beş yıl için yıllık emisyonları 25000 ton CO 2 (eşd)’den az olan kategori A tesis.</w:t>
      </w:r>
    </w:p>
    <w:p>
      <w:pPr>
        <w:pStyle w:val="LegalList"/>
      </w:pPr>
      <w:r>
        <w:rPr>
          <w:rFonts w:ascii="Avenir Light" w:hAnsi="Avenir Light" w:eastAsia="Avenir Light" w:cs="Avenir Light"/>
          <w:b w:val="0"/>
          <w:i w:val="0"/>
          <w:color w:val="172126"/>
          <w:sz w:val="19"/>
        </w:rPr>
        <w:t xml:space="preserve">(3) Düşük emisyona sahip bir tesis, </w:t>
      </w:r>
      <w:hyperlink w:anchor="madde_11" w:history="1">
        <w:r>
          <w:rPr>
            <w:rFonts w:ascii="Avenir Light" w:hAnsi="Avenir Light" w:eastAsia="Avenir Light" w:cs="Avenir Light"/>
            <w:color w:val="188A42"/>
            <w:sz w:val="19"/>
            <w:szCs w:val="19"/>
          </w:rPr>
          <w:t xml:space="preserve">11 inci madde</w:t>
        </w:r>
      </w:hyperlink>
      <w:r>
        <w:rPr>
          <w:rFonts w:ascii="Avenir Light" w:hAnsi="Avenir Light" w:eastAsia="Avenir Light" w:cs="Avenir Light"/>
          <w:b w:val="0"/>
          <w:i w:val="0"/>
          <w:color w:val="172126"/>
          <w:sz w:val="19"/>
        </w:rPr>
        <w:t xml:space="preserve">nin birinci fıkrası kapsamındaki destekleyici belgeleri sunma zorunluluğundan ve </w:t>
      </w:r>
      <w:hyperlink w:anchor="madde_59" w:history="1">
        <w:r>
          <w:rPr>
            <w:rFonts w:ascii="Avenir Light" w:hAnsi="Avenir Light" w:eastAsia="Avenir Light" w:cs="Avenir Light"/>
            <w:color w:val="188A42"/>
            <w:sz w:val="19"/>
            <w:szCs w:val="19"/>
          </w:rPr>
          <w:t xml:space="preserve">59 uncu madde</w:t>
        </w:r>
      </w:hyperlink>
      <w:r>
        <w:rPr>
          <w:rFonts w:ascii="Avenir Light" w:hAnsi="Avenir Light" w:eastAsia="Avenir Light" w:cs="Avenir Light"/>
          <w:b w:val="0"/>
          <w:i w:val="0"/>
          <w:color w:val="172126"/>
          <w:sz w:val="19"/>
        </w:rPr>
        <w:t>nin dördüncü fıkrası kapsamında iyileştirmeye ilişkin raporlama zorunluluğundan muaftır.</w:t>
      </w:r>
    </w:p>
    <w:p>
      <w:pPr>
        <w:pStyle w:val="LegalList"/>
      </w:pPr>
      <w:r>
        <w:rPr>
          <w:rFonts w:ascii="Avenir Light" w:hAnsi="Avenir Light" w:eastAsia="Avenir Light" w:cs="Avenir Light"/>
          <w:b w:val="0"/>
          <w:i w:val="0"/>
          <w:color w:val="172126"/>
          <w:sz w:val="19"/>
        </w:rPr>
        <w:t xml:space="preserve">(4) Düşük emisyona sahip bir tesis, </w:t>
      </w:r>
      <w:hyperlink w:anchor="madde_25" w:history="1">
        <w:r>
          <w:rPr>
            <w:rFonts w:ascii="Avenir Light" w:hAnsi="Avenir Light" w:eastAsia="Avenir Light" w:cs="Avenir Light"/>
            <w:color w:val="188A42"/>
            <w:sz w:val="19"/>
            <w:szCs w:val="19"/>
          </w:rPr>
          <w:t xml:space="preserve">25 inci madde</w:t>
        </w:r>
      </w:hyperlink>
      <w:r>
        <w:rPr>
          <w:rFonts w:ascii="Avenir Light" w:hAnsi="Avenir Light" w:eastAsia="Avenir Light" w:cs="Avenir Light"/>
          <w:b w:val="0"/>
          <w:i w:val="0"/>
          <w:color w:val="172126"/>
          <w:sz w:val="19"/>
        </w:rPr>
        <w:t xml:space="preserve">deki hükümlerden farklı olarak, uygun ve belgelendirilmiş satın alma kayıtlarını ve tahmini stok değişikliklerini kullanarak yakıt veya malzeme miktarını belirleyebilir, ayrıca </w:t>
      </w:r>
      <w:hyperlink w:anchor="madde_26" w:history="1">
        <w:r>
          <w:rPr>
            <w:rFonts w:ascii="Avenir Light" w:hAnsi="Avenir Light" w:eastAsia="Avenir Light" w:cs="Avenir Light"/>
            <w:color w:val="188A42"/>
            <w:sz w:val="19"/>
            <w:szCs w:val="19"/>
          </w:rPr>
          <w:t xml:space="preserve">26 ncı madde</w:t>
        </w:r>
      </w:hyperlink>
      <w:r>
        <w:rPr>
          <w:rFonts w:ascii="Avenir Light" w:hAnsi="Avenir Light" w:eastAsia="Avenir Light" w:cs="Avenir Light"/>
          <w:b w:val="0"/>
          <w:i w:val="0"/>
          <w:color w:val="172126"/>
          <w:sz w:val="19"/>
        </w:rPr>
        <w:t>nin üçüncü fıkrasında belirtilen belirsizlik değerlendirmesini Bakanlığa sunma zorunluluğundan muaftır.</w:t>
      </w:r>
    </w:p>
    <w:p>
      <w:pPr>
        <w:pStyle w:val="LegalList"/>
      </w:pPr>
      <w:r>
        <w:rPr>
          <w:rFonts w:ascii="Avenir Light" w:hAnsi="Avenir Light" w:eastAsia="Avenir Light" w:cs="Avenir Light"/>
          <w:b w:val="0"/>
          <w:i w:val="0"/>
          <w:color w:val="172126"/>
          <w:sz w:val="19"/>
        </w:rPr>
        <w:t xml:space="preserve">(5) Belirsizlik değerlendirmesine ilgili belirsizliği dahil etmek amacı ile düşük emisyona sahip bir tesis, depolama ünitelerinde raporlama dönemi boyunca yakıt veya malzemenin yıllık tüketiminin en az %5’inin bulunduğu durumda, raporlama döneminin başında ve sonunda stok verisinin belirlenmesine ilişkin </w:t>
      </w:r>
      <w:hyperlink w:anchor="madde_26" w:history="1">
        <w:r>
          <w:rPr>
            <w:rFonts w:ascii="Avenir Light" w:hAnsi="Avenir Light" w:eastAsia="Avenir Light" w:cs="Avenir Light"/>
            <w:color w:val="188A42"/>
            <w:sz w:val="19"/>
            <w:szCs w:val="19"/>
          </w:rPr>
          <w:t xml:space="preserve">26 ncı madde</w:t>
        </w:r>
      </w:hyperlink>
      <w:r>
        <w:rPr>
          <w:rFonts w:ascii="Avenir Light" w:hAnsi="Avenir Light" w:eastAsia="Avenir Light" w:cs="Avenir Light"/>
          <w:b w:val="0"/>
          <w:i w:val="0"/>
          <w:color w:val="172126"/>
          <w:sz w:val="19"/>
        </w:rPr>
        <w:t>nin üçüncü fıkrasındaki yükümlülükten muaf tutulur.</w:t>
      </w:r>
    </w:p>
    <w:p>
      <w:pPr>
        <w:pStyle w:val="LegalList"/>
      </w:pPr>
      <w:r>
        <w:rPr>
          <w:rFonts w:ascii="Avenir Light" w:hAnsi="Avenir Light" w:eastAsia="Avenir Light" w:cs="Avenir Light"/>
          <w:b w:val="0"/>
          <w:i w:val="0"/>
          <w:color w:val="172126"/>
          <w:sz w:val="19"/>
        </w:rPr>
        <w:t xml:space="preserve">(6) </w:t>
      </w:r>
      <w:hyperlink w:anchor="madde_24" w:history="1">
        <w:r>
          <w:rPr>
            <w:rFonts w:ascii="Avenir Light" w:hAnsi="Avenir Light" w:eastAsia="Avenir Light" w:cs="Avenir Light"/>
            <w:color w:val="188A42"/>
            <w:sz w:val="19"/>
            <w:szCs w:val="19"/>
          </w:rPr>
          <w:t xml:space="preserve">24 üncü madde</w:t>
        </w:r>
      </w:hyperlink>
      <w:r>
        <w:rPr>
          <w:rFonts w:ascii="Avenir Light" w:hAnsi="Avenir Light" w:eastAsia="Avenir Light" w:cs="Avenir Light"/>
          <w:b w:val="0"/>
          <w:i w:val="0"/>
          <w:color w:val="172126"/>
          <w:sz w:val="19"/>
        </w:rPr>
        <w:t>nin birinci fıkrasındaki hükümlerden farklı olarak, düşük emisyona sahip bir tesis, daha yüksek kademe uygulamanın teknik olarak elverişli olmadığına dair belge sunmadan, bütün kaynak akışlarında faaliyet verisinin ve hesaplama faktörlerinin belirlenmesi için, ilave çaba harcamadan daha yüksek doğruluğa erişilmedikçe, asgari kademe 1’i uygulayabilir.</w:t>
      </w:r>
    </w:p>
    <w:p>
      <w:pPr>
        <w:pStyle w:val="LegalList"/>
      </w:pPr>
      <w:r>
        <w:rPr>
          <w:rFonts w:ascii="Avenir Light" w:hAnsi="Avenir Light" w:eastAsia="Avenir Light" w:cs="Avenir Light"/>
          <w:b w:val="0"/>
          <w:i w:val="0"/>
          <w:color w:val="172126"/>
          <w:sz w:val="19"/>
        </w:rPr>
        <w:t xml:space="preserve">(7) </w:t>
      </w:r>
      <w:hyperlink w:anchor="madde_30" w:history="1">
        <w:r>
          <w:rPr>
            <w:rFonts w:ascii="Avenir Light" w:hAnsi="Avenir Light" w:eastAsia="Avenir Light" w:cs="Avenir Light"/>
            <w:color w:val="188A42"/>
            <w:sz w:val="19"/>
            <w:szCs w:val="19"/>
          </w:rPr>
          <w:t xml:space="preserve">30 uncu madde</w:t>
        </w:r>
      </w:hyperlink>
      <w:r>
        <w:rPr>
          <w:rFonts w:ascii="Avenir Light" w:hAnsi="Avenir Light" w:eastAsia="Avenir Light" w:cs="Avenir Light"/>
          <w:b w:val="0"/>
          <w:i w:val="0"/>
          <w:color w:val="172126"/>
          <w:sz w:val="19"/>
        </w:rPr>
        <w:t xml:space="preserve"> kapsamında analizler bazında hesaplama faktörlerini belirlemek için, düşük emisyona sahip bir tesis teknik olarak uzman olan ve ilgili analitik prosedürleri kullanarak teknik olarak geçerli sonuçlar üretebilen ve </w:t>
      </w:r>
      <w:hyperlink w:anchor="madde_32" w:history="1">
        <w:r>
          <w:rPr>
            <w:rFonts w:ascii="Avenir Light" w:hAnsi="Avenir Light" w:eastAsia="Avenir Light" w:cs="Avenir Light"/>
            <w:color w:val="188A42"/>
            <w:sz w:val="19"/>
            <w:szCs w:val="19"/>
          </w:rPr>
          <w:t xml:space="preserve">32 nci madde</w:t>
        </w:r>
      </w:hyperlink>
      <w:r>
        <w:rPr>
          <w:rFonts w:ascii="Avenir Light" w:hAnsi="Avenir Light" w:eastAsia="Avenir Light" w:cs="Avenir Light"/>
          <w:b w:val="0"/>
          <w:i w:val="0"/>
          <w:color w:val="172126"/>
          <w:sz w:val="19"/>
        </w:rPr>
        <w:t xml:space="preserve"> kapsamında kalite güvence önlemleri için gerekli bilgi ve belgeleri sunan herhangi bir laboratuvarı kullanabilir.</w:t>
      </w:r>
    </w:p>
    <w:p>
      <w:pPr>
        <w:pStyle w:val="LegalList"/>
      </w:pPr>
      <w:r>
        <w:rPr>
          <w:rFonts w:ascii="Avenir Light" w:hAnsi="Avenir Light" w:eastAsia="Avenir Light" w:cs="Avenir Light"/>
          <w:b w:val="0"/>
          <w:i w:val="0"/>
          <w:color w:val="172126"/>
          <w:sz w:val="19"/>
        </w:rPr>
        <w:t xml:space="preserve">(8) (Değişik:RG-5/2/2021-31386) Düşük emisyona sahip ve basitleştirilmiş izleme planı uygulayan bir tesis, herhangi bir takvim yılında ikinci fıkra kapsamında belirtilen eşikleri aştığında, işletme bu durumu ivedilikle Bakanlığa bildirir ve </w:t>
      </w:r>
      <w:hyperlink w:anchor="madde_14" w:history="1">
        <w:r>
          <w:rPr>
            <w:rFonts w:ascii="Avenir Light" w:hAnsi="Avenir Light" w:eastAsia="Avenir Light" w:cs="Avenir Light"/>
            <w:color w:val="188A42"/>
            <w:sz w:val="19"/>
            <w:szCs w:val="19"/>
          </w:rPr>
          <w:t xml:space="preserve">14 üncü madde</w:t>
        </w:r>
      </w:hyperlink>
      <w:r>
        <w:rPr>
          <w:rFonts w:ascii="Avenir Light" w:hAnsi="Avenir Light" w:eastAsia="Avenir Light" w:cs="Avenir Light"/>
          <w:b w:val="0"/>
          <w:i w:val="0"/>
          <w:color w:val="172126"/>
          <w:sz w:val="19"/>
        </w:rPr>
        <w:t>nin ikinci fıkrası kapsamında yer alan izleme planına ilişkin değişiklikleri Bakanlığa sunar. Ancak, işletmenin ikinci fıkrada belirtilen eşiğin geçmişteki beş raporlama dönemi içinde aşılmadığına ve gelecekteki raporlama dönemi içinde de aşılmayacağına dair belgeleri Bakanlığa sunması şartı ile Bakanlık söz konusu işletmenin basitleştirilmiş izlemeye devam etmesine izin verir.</w:t>
      </w:r>
    </w:p>
    <w:p>
      <w:pPr>
        <w:pStyle w:val="ArticleTitle"/>
      </w:pPr>
      <w:r>
        <w:rPr>
          <w:rFonts w:ascii="Avenir Light" w:hAnsi="Avenir Light" w:eastAsia="Avenir Light" w:cs="Avenir Light"/>
          <w:b w:val="0"/>
          <w:i w:val="0"/>
          <w:color w:val="0D5F31"/>
          <w:sz w:val="21"/>
        </w:rPr>
        <w:t>Dâhili (Değişik ibare:RG-5/2/2021-31386) CO 2</w:t>
      </w:r>
    </w:p>
    <w:p>
      <w:bookmarkStart w:id="55" w:name="madde_46"/>
      <w:pPr>
        <w:pStyle w:val="ArticleText"/>
      </w:pPr>
      <w:r>
        <w:rPr>
          <w:rFonts w:ascii="Avenir Light" w:hAnsi="Avenir Light" w:eastAsia="Avenir Light" w:cs="Avenir Light"/>
          <w:b w:val="0"/>
          <w:i w:val="0"/>
          <w:color w:val="172126"/>
          <w:sz w:val="19"/>
        </w:rPr>
        <w:t>MADDE 46 – (1) Bir tesise transfer edilen dahili (Değişik ibare:RG-5/2/2021-31386) CO 2 , doğal gazda veya yüksek fırın gazı veya kok fırını gazını içeren bir atık gazın içinde olanı da kapsayacak şekilde, bahse konu yakıt için emisyon faktörüne ilave edilir.</w:t>
      </w:r>
      <w:bookmarkEnd w:id="55"/>
    </w:p>
    <w:p>
      <w:pPr>
        <w:pStyle w:val="LegalList"/>
      </w:pPr>
      <w:r>
        <w:rPr>
          <w:rFonts w:ascii="Avenir Light" w:hAnsi="Avenir Light" w:eastAsia="Avenir Light" w:cs="Avenir Light"/>
          <w:b w:val="0"/>
          <w:i w:val="0"/>
          <w:color w:val="172126"/>
          <w:sz w:val="19"/>
        </w:rPr>
        <w:t xml:space="preserve">(2) Dâhili (Değişik ibare:RG-5/2/2021-31386) CO 2 , Yönetmeliğin </w:t>
      </w:r>
      <w:hyperlink w:anchor="ek_1" w:history="1">
        <w:r>
          <w:rPr>
            <w:rFonts w:ascii="Avenir Light" w:hAnsi="Avenir Light" w:eastAsia="Avenir Light" w:cs="Avenir Light"/>
            <w:color w:val="188A42"/>
            <w:sz w:val="19"/>
            <w:szCs w:val="19"/>
          </w:rPr>
          <w:t xml:space="preserve">ek-1</w:t>
        </w:r>
      </w:hyperlink>
      <w:r>
        <w:rPr>
          <w:rFonts w:ascii="Avenir Light" w:hAnsi="Avenir Light" w:eastAsia="Avenir Light" w:cs="Avenir Light"/>
          <w:b w:val="0"/>
          <w:i w:val="0"/>
          <w:color w:val="172126"/>
          <w:sz w:val="19"/>
        </w:rPr>
        <w:t>’inde yer alan faaliyetlerden kaynaklandığı ve tesisten dışarı bir yakıtın parçası olarak Yönetmelik kapsamında yer alan diğer tesis ve faaliyete transfer edildiği durumda, ilk çıktığı tesisin emisyonu olarak değerlendirilmez. Ancak, dâhili (Değişik ibare:RG-5/2/2021-31386) CO 2 , Yönetmelik kapsamında yer almayan bir tesise transfer edildiği durumda, ilk çıktığı tesisin emisyonları olarak değerlendirilir.</w:t>
      </w:r>
    </w:p>
    <w:p>
      <w:pPr>
        <w:pStyle w:val="LegalList"/>
      </w:pPr>
      <w:r>
        <w:rPr>
          <w:rFonts w:ascii="Avenir Light" w:hAnsi="Avenir Light" w:eastAsia="Avenir Light" w:cs="Avenir Light"/>
          <w:b w:val="0"/>
          <w:i w:val="0"/>
          <w:color w:val="172126"/>
          <w:sz w:val="19"/>
        </w:rPr>
        <w:t>(3) İşletme tesisten dışarı transfer edilen dâhili (Değişik ibare:RG-5/2/2021-31386) CO 2 miktarını transfer edilmeden önce ve transfer edildiği tesiste belirler. Bu iki miktarın aynı olması gerekir. Transfer edilen ve teslim alınan dahili (Değişik ibare:RG-5/2/2021-31386) CO 2 miktarının aynı olmadığı durumlarda ve değerler arasındaki bu farkın ölçüm sistemlerinin belirsizliği ile açıklanabildiği hallerde, hem transfer eden hem de transfer edilen tesisin emisyon raporlarında her iki ölçüm değerinin aritmetik ortalaması kullanılır. Bu durumlarda, emisyon raporunda söz konusu değerin ayarlanmasına ilişkin atıfta bulunulur.</w:t>
      </w:r>
    </w:p>
    <w:p>
      <w:pPr>
        <w:pStyle w:val="ArticleTitle"/>
      </w:pPr>
      <w:r>
        <w:rPr>
          <w:rFonts w:ascii="Avenir Light" w:hAnsi="Avenir Light" w:eastAsia="Avenir Light" w:cs="Avenir Light"/>
          <w:b w:val="0"/>
          <w:i w:val="0"/>
          <w:color w:val="0D5F31"/>
          <w:sz w:val="21"/>
        </w:rPr>
        <w:t>Transfer edilen (Değişik ibare:RG-5/2/2021-31386) CO 2</w:t>
      </w:r>
    </w:p>
    <w:p>
      <w:bookmarkStart w:id="56" w:name="madde_47"/>
      <w:pPr>
        <w:pStyle w:val="ArticleText"/>
      </w:pPr>
      <w:r>
        <w:rPr>
          <w:rFonts w:ascii="Avenir Light" w:hAnsi="Avenir Light" w:eastAsia="Avenir Light" w:cs="Avenir Light"/>
          <w:b w:val="0"/>
          <w:i w:val="0"/>
          <w:color w:val="172126"/>
          <w:sz w:val="19"/>
        </w:rPr>
        <w:t>MADDE 47 – (1) (Değişik ibare:RG-5/2/2021-31386) CO 2 transfer eden tesis, transfer edilen tesise ilişkin kimlik bilgilerini yıllık emisyon raporunda sunar.</w:t>
      </w:r>
      <w:bookmarkEnd w:id="56"/>
    </w:p>
    <w:p>
      <w:pPr>
        <w:pStyle w:val="LegalList"/>
      </w:pPr>
      <w:r>
        <w:rPr>
          <w:rFonts w:ascii="Avenir Light" w:hAnsi="Avenir Light" w:eastAsia="Avenir Light" w:cs="Avenir Light"/>
          <w:b w:val="0"/>
          <w:i w:val="0"/>
          <w:color w:val="172126"/>
          <w:sz w:val="19"/>
        </w:rPr>
        <w:t xml:space="preserve">(2) İşletme, bir tesisten diğerine transfer edilen (Değişik ibare:RG-5/2/2021-31386) CO 2 miktarını belirlemek için, 41, 42 ve </w:t>
      </w:r>
      <w:hyperlink w:anchor="madde_43" w:history="1">
        <w:r>
          <w:rPr>
            <w:rFonts w:ascii="Avenir Light" w:hAnsi="Avenir Light" w:eastAsia="Avenir Light" w:cs="Avenir Light"/>
            <w:color w:val="188A42"/>
            <w:sz w:val="19"/>
            <w:szCs w:val="19"/>
          </w:rPr>
          <w:t xml:space="preserve">43 üncü madde</w:t>
        </w:r>
      </w:hyperlink>
      <w:r>
        <w:rPr>
          <w:rFonts w:ascii="Avenir Light" w:hAnsi="Avenir Light" w:eastAsia="Avenir Light" w:cs="Avenir Light"/>
          <w:b w:val="0"/>
          <w:i w:val="0"/>
          <w:color w:val="172126"/>
          <w:sz w:val="19"/>
        </w:rPr>
        <w:t>lerde yer alan ölçüm temelli yöntemleri kullanır. Emisyon kaynağı ölçüm noktasına tekabül eder ve emisyonlar transfer edilen (Değişik ibare:RG-5/2/2021-31386) CO 2 miktarı olarak ifade edilir.</w:t>
      </w:r>
    </w:p>
    <w:p>
      <w:pPr>
        <w:pStyle w:val="LegalList"/>
      </w:pPr>
      <w:r>
        <w:rPr>
          <w:rFonts w:ascii="Avenir Light" w:hAnsi="Avenir Light" w:eastAsia="Avenir Light" w:cs="Avenir Light"/>
          <w:b w:val="0"/>
          <w:i w:val="0"/>
          <w:color w:val="172126"/>
          <w:sz w:val="19"/>
        </w:rPr>
        <w:t xml:space="preserve">(3) İşletme, bir tesisten diğerine transfer edilen (Değişik ibare:RG-5/2/2021-31386) CO 2 miktarını belirlemek için, </w:t>
      </w:r>
      <w:hyperlink w:anchor="ek_7" w:history="1">
        <w:r>
          <w:rPr>
            <w:rFonts w:ascii="Avenir Light" w:hAnsi="Avenir Light" w:eastAsia="Avenir Light" w:cs="Avenir Light"/>
            <w:color w:val="188A42"/>
            <w:sz w:val="19"/>
            <w:szCs w:val="19"/>
          </w:rPr>
          <w:t xml:space="preserve">ek-7</w:t>
        </w:r>
      </w:hyperlink>
      <w:r>
        <w:rPr>
          <w:rFonts w:ascii="Avenir Light" w:hAnsi="Avenir Light" w:eastAsia="Avenir Light" w:cs="Avenir Light"/>
          <w:b w:val="0"/>
          <w:i w:val="0"/>
          <w:color w:val="172126"/>
          <w:sz w:val="19"/>
        </w:rPr>
        <w:t>’nin birinci bölümünde tanımlanan kademe 4’ü uygular. Ancak, işletme, söz konusu kademenin uygulanmasının teknik olarak elverişli olmadığını belgelemesi halinde bir düşük kademeyi uygulayabilir.</w:t>
      </w:r>
    </w:p>
    <w:p>
      <w:pPr>
        <w:pStyle w:val="LegalList"/>
      </w:pPr>
      <w:r>
        <w:rPr>
          <w:rFonts w:ascii="Avenir Light" w:hAnsi="Avenir Light" w:eastAsia="Avenir Light" w:cs="Avenir Light"/>
          <w:b w:val="0"/>
          <w:i w:val="0"/>
          <w:color w:val="172126"/>
          <w:sz w:val="19"/>
        </w:rPr>
        <w:t xml:space="preserve">(4) İşletmeler hem transfer eden hem de transfer edilen tesislerde transfer edilen (Değişik ibare:RG-5/2/2021-31386) CO 2 miktarını belirleyebilirler. Bu durumda, </w:t>
      </w:r>
      <w:hyperlink w:anchor="madde_46" w:history="1">
        <w:r>
          <w:rPr>
            <w:rFonts w:ascii="Avenir Light" w:hAnsi="Avenir Light" w:eastAsia="Avenir Light" w:cs="Avenir Light"/>
            <w:color w:val="188A42"/>
            <w:sz w:val="19"/>
            <w:szCs w:val="19"/>
          </w:rPr>
          <w:t xml:space="preserve">46 ncı madde</w:t>
        </w:r>
      </w:hyperlink>
      <w:r>
        <w:rPr>
          <w:rFonts w:ascii="Avenir Light" w:hAnsi="Avenir Light" w:eastAsia="Avenir Light" w:cs="Avenir Light"/>
          <w:b w:val="0"/>
          <w:i w:val="0"/>
          <w:color w:val="172126"/>
          <w:sz w:val="19"/>
        </w:rPr>
        <w:t>nin üçüncü fıkrası uygulanır.</w:t>
      </w:r>
    </w:p>
    <w:p>
      <w:pPr>
        <w:pStyle w:val="PartLabel"/>
      </w:pPr>
      <w:r>
        <w:rPr>
          <w:rFonts w:ascii="Avenir Light" w:hAnsi="Avenir Light" w:eastAsia="Avenir Light" w:cs="Avenir Light"/>
          <w:b w:val="0"/>
          <w:i w:val="0"/>
          <w:color w:val="0D5F31"/>
          <w:sz w:val="26"/>
        </w:rPr>
        <w:t>SEKİZİNCİ BÖLÜM</w:t>
      </w:r>
    </w:p>
    <w:p>
      <w:pPr>
        <w:pStyle w:val="PartTitle"/>
      </w:pPr>
      <w:r>
        <w:rPr>
          <w:rFonts w:ascii="Avenir Light" w:hAnsi="Avenir Light" w:eastAsia="Avenir Light" w:cs="Avenir Light"/>
          <w:b w:val="0"/>
          <w:i w:val="0"/>
          <w:color w:val="172126"/>
          <w:sz w:val="22"/>
        </w:rPr>
        <w:t>Veri Yönetimi ve Kontrolü</w:t>
      </w:r>
    </w:p>
    <w:p>
      <w:pPr>
        <w:pStyle w:val="ArticleTitle"/>
      </w:pPr>
      <w:r>
        <w:rPr>
          <w:rFonts w:ascii="Avenir Light" w:hAnsi="Avenir Light" w:eastAsia="Avenir Light" w:cs="Avenir Light"/>
          <w:b w:val="0"/>
          <w:i w:val="0"/>
          <w:color w:val="0D5F31"/>
          <w:sz w:val="21"/>
        </w:rPr>
        <w:t>Veri akış faaliyetleri</w:t>
      </w:r>
    </w:p>
    <w:p>
      <w:bookmarkStart w:id="57" w:name="madde_48"/>
      <w:pPr>
        <w:pStyle w:val="ArticleText"/>
      </w:pPr>
      <w:r>
        <w:rPr>
          <w:rFonts w:ascii="Avenir Light" w:hAnsi="Avenir Light" w:eastAsia="Avenir Light" w:cs="Avenir Light"/>
          <w:b w:val="0"/>
          <w:i w:val="0"/>
          <w:color w:val="172126"/>
          <w:sz w:val="19"/>
        </w:rPr>
        <w:t>MADDE 48 – (1) İşletme sera gazı emisyonlarının izlenmesi ve raporlanmasına yönelik veri akış faaliyetleri için yazılı prosedürleri oluşturur, belgelendirir, uygular ve sürekliliğini sağlar. İşletme, veri akış faaliyetlerinin yer aldığı yıllık emisyon raporunun hatalı beyan içermemesini temin eder, izleme planı, yazılı prosedürler ve bu Tebliğ ile uyumlu olmasını sağlar.</w:t>
      </w:r>
      <w:bookmarkEnd w:id="57"/>
    </w:p>
    <w:p>
      <w:pPr>
        <w:pStyle w:val="LegalList"/>
      </w:pPr>
      <w:r>
        <w:rPr>
          <w:rFonts w:ascii="Avenir Light" w:hAnsi="Avenir Light" w:eastAsia="Avenir Light" w:cs="Avenir Light"/>
          <w:b w:val="0"/>
          <w:i w:val="0"/>
          <w:color w:val="172126"/>
          <w:sz w:val="19"/>
        </w:rPr>
        <w:t>(2) İzleme planındaki veri akış faaliyetleri için yazılı prosedürlerin tanımları en az aşağıdaki unsurları içerir:</w:t>
      </w:r>
    </w:p>
    <w:p>
      <w:pPr>
        <w:pStyle w:val="LegalList"/>
      </w:pPr>
      <w:r>
        <w:rPr>
          <w:rFonts w:ascii="Avenir Light" w:hAnsi="Avenir Light" w:eastAsia="Avenir Light" w:cs="Avenir Light"/>
          <w:b w:val="0"/>
          <w:i w:val="0"/>
          <w:color w:val="172126"/>
          <w:sz w:val="19"/>
        </w:rPr>
        <w:t xml:space="preserve">a) </w:t>
      </w:r>
      <w:hyperlink w:anchor="madde_11" w:history="1">
        <w:r>
          <w:rPr>
            <w:rFonts w:ascii="Avenir Light" w:hAnsi="Avenir Light" w:eastAsia="Avenir Light" w:cs="Avenir Light"/>
            <w:color w:val="188A42"/>
            <w:sz w:val="19"/>
            <w:szCs w:val="19"/>
          </w:rPr>
          <w:t xml:space="preserve">11 inci madde</w:t>
        </w:r>
      </w:hyperlink>
      <w:r>
        <w:rPr>
          <w:rFonts w:ascii="Avenir Light" w:hAnsi="Avenir Light" w:eastAsia="Avenir Light" w:cs="Avenir Light"/>
          <w:b w:val="0"/>
          <w:i w:val="0"/>
          <w:color w:val="172126"/>
          <w:sz w:val="19"/>
        </w:rPr>
        <w:t>nin ikinci fıkrasında listelenen bilgileri,</w:t>
      </w:r>
    </w:p>
    <w:p>
      <w:pPr>
        <w:pStyle w:val="LegalList"/>
      </w:pPr>
      <w:r>
        <w:rPr>
          <w:rFonts w:ascii="Avenir Light" w:hAnsi="Avenir Light" w:eastAsia="Avenir Light" w:cs="Avenir Light"/>
          <w:b w:val="0"/>
          <w:i w:val="0"/>
          <w:color w:val="172126"/>
          <w:sz w:val="19"/>
        </w:rPr>
        <w:t>b) Birincil veri kaynaklarının tespitini,</w:t>
      </w:r>
    </w:p>
    <w:p>
      <w:pPr>
        <w:pStyle w:val="LegalList"/>
      </w:pPr>
      <w:r>
        <w:rPr>
          <w:rFonts w:ascii="Avenir Light" w:hAnsi="Avenir Light" w:eastAsia="Avenir Light" w:cs="Avenir Light"/>
          <w:b w:val="0"/>
          <w:i w:val="0"/>
          <w:color w:val="172126"/>
          <w:sz w:val="19"/>
        </w:rPr>
        <w:t>c) Birincil veriden yıllık emisyonlara kadar veri akış faaliyetlerinin sırasını ve aralarındaki etkileşimleri gösteren bütün adımları,</w:t>
      </w:r>
    </w:p>
    <w:p>
      <w:pPr>
        <w:pStyle w:val="LegalList"/>
      </w:pPr>
      <w:r>
        <w:rPr>
          <w:rFonts w:ascii="Avenir Light" w:hAnsi="Avenir Light" w:eastAsia="Avenir Light" w:cs="Avenir Light"/>
          <w:b w:val="0"/>
          <w:i w:val="0"/>
          <w:color w:val="172126"/>
          <w:sz w:val="19"/>
        </w:rPr>
        <w:t>ç) Emisyonları belirlemek için kullanılan formülleri ve veriyi içeren her bir belirli veri akış faaliyeti ile bağlantılı işlem adımlarını,</w:t>
      </w:r>
    </w:p>
    <w:p>
      <w:pPr>
        <w:pStyle w:val="LegalList"/>
      </w:pPr>
      <w:r>
        <w:rPr>
          <w:rFonts w:ascii="Avenir Light" w:hAnsi="Avenir Light" w:eastAsia="Avenir Light" w:cs="Avenir Light"/>
          <w:b w:val="0"/>
          <w:i w:val="0"/>
          <w:color w:val="172126"/>
          <w:sz w:val="19"/>
        </w:rPr>
        <w:t>d) Elektronik veri işlemleri ve depolama sistemleri, bu tip sistemler arasındaki etkileşimler ve manüel girişler dahil tüm veri girişlerini,</w:t>
      </w:r>
    </w:p>
    <w:p>
      <w:pPr>
        <w:pStyle w:val="LegalList"/>
      </w:pPr>
      <w:r>
        <w:rPr>
          <w:rFonts w:ascii="Avenir Light" w:hAnsi="Avenir Light" w:eastAsia="Avenir Light" w:cs="Avenir Light"/>
          <w:b w:val="0"/>
          <w:i w:val="0"/>
          <w:color w:val="172126"/>
          <w:sz w:val="19"/>
        </w:rPr>
        <w:t>e) Veri akış faaliyetleri çıktılarının kayıt şeklini.</w:t>
      </w:r>
    </w:p>
    <w:p>
      <w:pPr>
        <w:pStyle w:val="ArticleTitle"/>
      </w:pPr>
      <w:r>
        <w:rPr>
          <w:rFonts w:ascii="Avenir Light" w:hAnsi="Avenir Light" w:eastAsia="Avenir Light" w:cs="Avenir Light"/>
          <w:b w:val="0"/>
          <w:i w:val="0"/>
          <w:color w:val="0D5F31"/>
          <w:sz w:val="21"/>
        </w:rPr>
        <w:t>Kontrol sistemi</w:t>
      </w:r>
    </w:p>
    <w:p>
      <w:bookmarkStart w:id="58" w:name="madde_49"/>
      <w:pPr>
        <w:pStyle w:val="ArticleText"/>
      </w:pPr>
      <w:r>
        <w:rPr>
          <w:rFonts w:ascii="Avenir Light" w:hAnsi="Avenir Light" w:eastAsia="Avenir Light" w:cs="Avenir Light"/>
          <w:b w:val="0"/>
          <w:i w:val="0"/>
          <w:color w:val="172126"/>
          <w:sz w:val="19"/>
        </w:rPr>
        <w:t>MADDE 49 – (1) İşletme yıllık emisyon raporunun, hatalı beyanları içermemesini ve izleme planı ve bu Tebliğ ile uyumlu olmasını temin etmek için etkili bir kontrol sistemini oluşturur, uygular ve devamlılığını sağlar.</w:t>
      </w:r>
      <w:bookmarkEnd w:id="58"/>
    </w:p>
    <w:p>
      <w:pPr>
        <w:pStyle w:val="LegalList"/>
      </w:pPr>
      <w:r>
        <w:rPr>
          <w:rFonts w:ascii="Avenir Light" w:hAnsi="Avenir Light" w:eastAsia="Avenir Light" w:cs="Avenir Light"/>
          <w:b w:val="0"/>
          <w:i w:val="0"/>
          <w:color w:val="172126"/>
          <w:sz w:val="19"/>
        </w:rPr>
        <w:t>(2) Birinci fıkrada belirtilen kontrol sistemi aşağıdakileri kapsar:</w:t>
      </w:r>
    </w:p>
    <w:p>
      <w:pPr>
        <w:pStyle w:val="LegalList"/>
      </w:pPr>
      <w:r>
        <w:rPr>
          <w:rFonts w:ascii="Avenir Light" w:hAnsi="Avenir Light" w:eastAsia="Avenir Light" w:cs="Avenir Light"/>
          <w:b w:val="0"/>
          <w:i w:val="0"/>
          <w:color w:val="172126"/>
          <w:sz w:val="19"/>
        </w:rPr>
        <w:t>a) İşletmenin dâhili riskler ve kontrol riskleri hakkında değerlendirmesi,</w:t>
      </w:r>
    </w:p>
    <w:p>
      <w:pPr>
        <w:pStyle w:val="LegalList"/>
      </w:pPr>
      <w:r>
        <w:rPr>
          <w:rFonts w:ascii="Avenir Light" w:hAnsi="Avenir Light" w:eastAsia="Avenir Light" w:cs="Avenir Light"/>
          <w:b w:val="0"/>
          <w:i w:val="0"/>
          <w:color w:val="172126"/>
          <w:sz w:val="19"/>
        </w:rPr>
        <w:t>b) Tanımlanmış riskleri azaltacak kontrol faaliyetleri ile ilgili yazılı prosedürleri.</w:t>
      </w:r>
    </w:p>
    <w:p>
      <w:pPr>
        <w:pStyle w:val="LegalList"/>
      </w:pPr>
      <w:r>
        <w:rPr>
          <w:rFonts w:ascii="Avenir Light" w:hAnsi="Avenir Light" w:eastAsia="Avenir Light" w:cs="Avenir Light"/>
          <w:b w:val="0"/>
          <w:i w:val="0"/>
          <w:color w:val="172126"/>
          <w:sz w:val="19"/>
        </w:rPr>
        <w:t>(3) İkinci fıkranın (b) bendi kapsamındaki kontrol faaliyetleri ile ilgili yazılı prosedürler asgari düzeyde aşağıdakileri içerir:</w:t>
      </w:r>
    </w:p>
    <w:p>
      <w:pPr>
        <w:pStyle w:val="LegalList"/>
      </w:pPr>
      <w:r>
        <w:rPr>
          <w:rFonts w:ascii="Avenir Light" w:hAnsi="Avenir Light" w:eastAsia="Avenir Light" w:cs="Avenir Light"/>
          <w:b w:val="0"/>
          <w:i w:val="0"/>
          <w:color w:val="172126"/>
          <w:sz w:val="19"/>
        </w:rPr>
        <w:t>a) Ölçüm ekipmanlarının kalite güvencesi,</w:t>
      </w:r>
    </w:p>
    <w:p>
      <w:pPr>
        <w:pStyle w:val="LegalList"/>
      </w:pPr>
      <w:r>
        <w:rPr>
          <w:rFonts w:ascii="Avenir Light" w:hAnsi="Avenir Light" w:eastAsia="Avenir Light" w:cs="Avenir Light"/>
          <w:b w:val="0"/>
          <w:i w:val="0"/>
          <w:color w:val="172126"/>
          <w:sz w:val="19"/>
        </w:rPr>
        <w:t>b) Proses kontrol bilgisayar teknolojisini de içeren, veri akış faaliyetleri için kullanılan bilgi teknolojileri sisteminin kalite güvencesi,</w:t>
      </w:r>
    </w:p>
    <w:p>
      <w:pPr>
        <w:pStyle w:val="LegalList"/>
      </w:pPr>
      <w:r>
        <w:rPr>
          <w:rFonts w:ascii="Avenir Light" w:hAnsi="Avenir Light" w:eastAsia="Avenir Light" w:cs="Avenir Light"/>
          <w:b w:val="0"/>
          <w:i w:val="0"/>
          <w:color w:val="172126"/>
          <w:sz w:val="19"/>
        </w:rPr>
        <w:t>c) Zorunlu yetkinliklerin yönetimi olduğu kadar veri akış faaliyetlerindeki ve kontrol faaliyetlerindeki görevlerin ayrılması,</w:t>
      </w:r>
    </w:p>
    <w:p>
      <w:pPr>
        <w:pStyle w:val="LegalList"/>
      </w:pPr>
      <w:r>
        <w:rPr>
          <w:rFonts w:ascii="Avenir Light" w:hAnsi="Avenir Light" w:eastAsia="Avenir Light" w:cs="Avenir Light"/>
          <w:b w:val="0"/>
          <w:i w:val="0"/>
          <w:color w:val="172126"/>
          <w:sz w:val="19"/>
        </w:rPr>
        <w:t>ç) Verilerin iç tetkikleri ve veri doğrulaması,</w:t>
      </w:r>
    </w:p>
    <w:p>
      <w:pPr>
        <w:pStyle w:val="LegalList"/>
      </w:pPr>
      <w:r>
        <w:rPr>
          <w:rFonts w:ascii="Avenir Light" w:hAnsi="Avenir Light" w:eastAsia="Avenir Light" w:cs="Avenir Light"/>
          <w:b w:val="0"/>
          <w:i w:val="0"/>
          <w:color w:val="172126"/>
          <w:sz w:val="19"/>
        </w:rPr>
        <w:t>d) Düzeltmeler ve düzeltme önlemleri,</w:t>
      </w:r>
    </w:p>
    <w:p>
      <w:pPr>
        <w:pStyle w:val="LegalList"/>
      </w:pPr>
      <w:r>
        <w:rPr>
          <w:rFonts w:ascii="Avenir Light" w:hAnsi="Avenir Light" w:eastAsia="Avenir Light" w:cs="Avenir Light"/>
          <w:b w:val="0"/>
          <w:i w:val="0"/>
          <w:color w:val="172126"/>
          <w:sz w:val="19"/>
        </w:rPr>
        <w:t>e) Hizmet alımı ile gerçekleştirilen faaliyetlerin kontrolü,</w:t>
      </w:r>
    </w:p>
    <w:p>
      <w:pPr>
        <w:pStyle w:val="LegalList"/>
      </w:pPr>
      <w:r>
        <w:rPr>
          <w:rFonts w:ascii="Avenir Light" w:hAnsi="Avenir Light" w:eastAsia="Avenir Light" w:cs="Avenir Light"/>
          <w:b w:val="0"/>
          <w:i w:val="0"/>
          <w:color w:val="172126"/>
          <w:sz w:val="19"/>
        </w:rPr>
        <w:t>f) Belge yönetimini de içeren kayıt ve belgelerin saklanması.</w:t>
      </w:r>
    </w:p>
    <w:p>
      <w:pPr>
        <w:pStyle w:val="LegalList"/>
      </w:pPr>
      <w:r>
        <w:rPr>
          <w:rFonts w:ascii="Avenir Light" w:hAnsi="Avenir Light" w:eastAsia="Avenir Light" w:cs="Avenir Light"/>
          <w:b w:val="0"/>
          <w:i w:val="0"/>
          <w:color w:val="172126"/>
          <w:sz w:val="19"/>
        </w:rPr>
        <w:t>(4) İşletme, Yönetmelik ile doğrulama ve akreditasyona ilişkin mevzuata uyumlu olarak, iç tetkik sonuçlarını ve yıllık emisyon raporlarının doğrulanması esnasında doğrulayıcı kuruluşun bulgularını dikkate alarak kontrol sisteminin etkinliğini izler. Kontrol sisteminin etkin olmadığı veya tanımlanmış riskler ile uyumlu olmadığı belirlendiğinde, işletme kontrol sistemini geliştirir, izleme planını, veri akış faaliyetlerini, risk değerlendirmelerini ve kontrol faaliyetlerine yönelik yazılı prosedürlerini günceller.</w:t>
      </w:r>
    </w:p>
    <w:p>
      <w:pPr>
        <w:pStyle w:val="ArticleTitle"/>
      </w:pPr>
      <w:r>
        <w:rPr>
          <w:rFonts w:ascii="Avenir Light" w:hAnsi="Avenir Light" w:eastAsia="Avenir Light" w:cs="Avenir Light"/>
          <w:b w:val="0"/>
          <w:i w:val="0"/>
          <w:color w:val="0D5F31"/>
          <w:sz w:val="21"/>
        </w:rPr>
        <w:t>Kalite güvencesi</w:t>
      </w:r>
    </w:p>
    <w:p>
      <w:bookmarkStart w:id="59" w:name="madde_50"/>
      <w:pPr>
        <w:pStyle w:val="ArticleText"/>
      </w:pPr>
      <w:r>
        <w:rPr>
          <w:rFonts w:ascii="Avenir Light" w:hAnsi="Avenir Light" w:eastAsia="Avenir Light" w:cs="Avenir Light"/>
          <w:b w:val="0"/>
          <w:i w:val="0"/>
          <w:color w:val="172126"/>
          <w:sz w:val="19"/>
        </w:rPr>
        <w:t xml:space="preserve">MADDE 50 – (1) </w:t>
      </w:r>
      <w:hyperlink w:anchor="madde_49" w:history="1">
        <w:r>
          <w:rPr>
            <w:rFonts w:ascii="Avenir Light" w:hAnsi="Avenir Light" w:eastAsia="Avenir Light" w:cs="Avenir Light"/>
            <w:color w:val="188A42"/>
            <w:sz w:val="19"/>
            <w:szCs w:val="19"/>
          </w:rPr>
          <w:t xml:space="preserve">49 uncu madde</w:t>
        </w:r>
      </w:hyperlink>
      <w:r>
        <w:rPr>
          <w:rFonts w:ascii="Avenir Light" w:hAnsi="Avenir Light" w:eastAsia="Avenir Light" w:cs="Avenir Light"/>
          <w:b w:val="0"/>
          <w:i w:val="0"/>
          <w:color w:val="172126"/>
          <w:sz w:val="19"/>
        </w:rPr>
        <w:t>nin üçüncü fıkrasının (a) bendi kapsamında, işletme, ölçüm ekipmanlarının düzenli aralıklarda kalibrasyonunu, ayarlanmasını ve tetkikini temin eder, uygun olan durumlar için, bu Tebliğin gereksinimleri kapsamında uluslararası ölçüm standartları ve tanımlanmış risklere uygun olup olmadığını kontrol eder. Ölçüm sistemleri bileşenlerinin kalibre edilemediği durumlarda, işletme bunları izleme planında tanımlar ve alternatif kontrol faaliyetleri sunar. Ekipman gerekli performansı karşılamadığı durumlarda, işletme ilgili mevzuat çerçevesinde gerekli düzeltici önlemleri alır.</w:t>
      </w:r>
      <w:bookmarkEnd w:id="59"/>
    </w:p>
    <w:p>
      <w:pPr>
        <w:pStyle w:val="LegalList"/>
      </w:pPr>
      <w:r>
        <w:rPr>
          <w:rFonts w:ascii="Avenir Light" w:hAnsi="Avenir Light" w:eastAsia="Avenir Light" w:cs="Avenir Light"/>
          <w:b w:val="0"/>
          <w:i w:val="0"/>
          <w:color w:val="172126"/>
          <w:sz w:val="19"/>
        </w:rPr>
        <w:t>(2) Sürekli emisyon ölçüm sistemleri ile ilgili olarak, işletme, yetkin personel tarafından yürütülen, yılda en az bir kez standart referans yöntemleri ile paralel ölçümleri de dahil ederek TS EN 14181 standardı uyarınca otomatik ölçüm sistemleri için kalite güvence standardını uygular. Bu tip kalite güvencesinin kalibrasyon ve performans kontrolleri için gerekli parametre olarak emisyon sınır değerlerine gereksinim duyduğu durumda, sera gazlarının yıllık ortalama saatlik konsantrasyonları bu tip emisyon sınır değerleri için ikame olarak kullanılır. İşletme, kalibrasyonun yeniden yapılmasını da içeren, kalite güvence gereksinimleri ile bir uyumsuzluk tespit ettiğinde, Bakanlığa bu durumu rapor eder ve ivedilikle düzeltici önlemleri alır.</w:t>
      </w:r>
    </w:p>
    <w:p>
      <w:pPr>
        <w:pStyle w:val="ArticleTitle"/>
      </w:pPr>
      <w:r>
        <w:rPr>
          <w:rFonts w:ascii="Avenir Light" w:hAnsi="Avenir Light" w:eastAsia="Avenir Light" w:cs="Avenir Light"/>
          <w:b w:val="0"/>
          <w:i w:val="0"/>
          <w:color w:val="0D5F31"/>
          <w:sz w:val="21"/>
        </w:rPr>
        <w:t>Bilgi teknolojilerinin kalite güvencesi</w:t>
      </w:r>
    </w:p>
    <w:p>
      <w:bookmarkStart w:id="60" w:name="madde_51"/>
      <w:pPr>
        <w:pStyle w:val="ArticleText"/>
      </w:pPr>
      <w:r>
        <w:rPr>
          <w:rFonts w:ascii="Avenir Light" w:hAnsi="Avenir Light" w:eastAsia="Avenir Light" w:cs="Avenir Light"/>
          <w:b w:val="0"/>
          <w:i w:val="0"/>
          <w:color w:val="172126"/>
          <w:sz w:val="19"/>
        </w:rPr>
        <w:t xml:space="preserve">MADDE 51 – (1) </w:t>
      </w:r>
      <w:hyperlink w:anchor="madde_49" w:history="1">
        <w:r>
          <w:rPr>
            <w:rFonts w:ascii="Avenir Light" w:hAnsi="Avenir Light" w:eastAsia="Avenir Light" w:cs="Avenir Light"/>
            <w:color w:val="188A42"/>
            <w:sz w:val="19"/>
            <w:szCs w:val="19"/>
          </w:rPr>
          <w:t xml:space="preserve">49 uncu madde</w:t>
        </w:r>
      </w:hyperlink>
      <w:r>
        <w:rPr>
          <w:rFonts w:ascii="Avenir Light" w:hAnsi="Avenir Light" w:eastAsia="Avenir Light" w:cs="Avenir Light"/>
          <w:b w:val="0"/>
          <w:i w:val="0"/>
          <w:color w:val="172126"/>
          <w:sz w:val="19"/>
        </w:rPr>
        <w:t xml:space="preserve">nin üçüncü fıkrasının (b) bendi kapsamında, işletme </w:t>
      </w:r>
      <w:hyperlink w:anchor="madde_49" w:history="1">
        <w:r>
          <w:rPr>
            <w:rFonts w:ascii="Avenir Light" w:hAnsi="Avenir Light" w:eastAsia="Avenir Light" w:cs="Avenir Light"/>
            <w:color w:val="188A42"/>
            <w:sz w:val="19"/>
            <w:szCs w:val="19"/>
          </w:rPr>
          <w:t xml:space="preserve">49 uncu madde</w:t>
        </w:r>
      </w:hyperlink>
      <w:r>
        <w:rPr>
          <w:rFonts w:ascii="Avenir Light" w:hAnsi="Avenir Light" w:eastAsia="Avenir Light" w:cs="Avenir Light"/>
          <w:b w:val="0"/>
          <w:i w:val="0"/>
          <w:color w:val="172126"/>
          <w:sz w:val="19"/>
        </w:rPr>
        <w:t>nin ikinci fıkrasının (a) bendi kapsamında tanımlanan risk ile bağlantılı olarak bilgi teknolojileri sisteminin güvenilir, doğru ve düzenli veriyi işleyecek şekilde tasarlanmasını, belgelenmesini, test edilmesini, uyarlanmasını, kontrol edilmesini ve bakımının yapılmasını temin eder. Bilgi teknolojileri sisteminin kontrolü; erişim kontrolü, yedekleme kontrolü, geri yükleme, süreklilik planı ve güvenliği içerir.</w:t>
      </w:r>
      <w:bookmarkEnd w:id="60"/>
    </w:p>
    <w:p>
      <w:pPr>
        <w:pStyle w:val="ArticleTitle"/>
      </w:pPr>
      <w:r>
        <w:rPr>
          <w:rFonts w:ascii="Avenir Light" w:hAnsi="Avenir Light" w:eastAsia="Avenir Light" w:cs="Avenir Light"/>
          <w:b w:val="0"/>
          <w:i w:val="0"/>
          <w:color w:val="0D5F31"/>
          <w:sz w:val="21"/>
        </w:rPr>
        <w:t>Görevlerin dağıtılması</w:t>
      </w:r>
    </w:p>
    <w:p>
      <w:bookmarkStart w:id="61" w:name="madde_52"/>
      <w:pPr>
        <w:pStyle w:val="ArticleText"/>
      </w:pPr>
      <w:r>
        <w:rPr>
          <w:rFonts w:ascii="Avenir Light" w:hAnsi="Avenir Light" w:eastAsia="Avenir Light" w:cs="Avenir Light"/>
          <w:b w:val="0"/>
          <w:i w:val="0"/>
          <w:color w:val="172126"/>
          <w:sz w:val="19"/>
        </w:rPr>
        <w:t xml:space="preserve">MADDE 52 – (1) </w:t>
      </w:r>
      <w:hyperlink w:anchor="madde_49" w:history="1">
        <w:r>
          <w:rPr>
            <w:rFonts w:ascii="Avenir Light" w:hAnsi="Avenir Light" w:eastAsia="Avenir Light" w:cs="Avenir Light"/>
            <w:color w:val="188A42"/>
            <w:sz w:val="19"/>
            <w:szCs w:val="19"/>
          </w:rPr>
          <w:t xml:space="preserve">49 uncu madde</w:t>
        </w:r>
      </w:hyperlink>
      <w:r>
        <w:rPr>
          <w:rFonts w:ascii="Avenir Light" w:hAnsi="Avenir Light" w:eastAsia="Avenir Light" w:cs="Avenir Light"/>
          <w:b w:val="0"/>
          <w:i w:val="0"/>
          <w:color w:val="172126"/>
          <w:sz w:val="19"/>
        </w:rPr>
        <w:t>nin üçüncü fıkrasının (c) bendi kapsamında, işletme görev çakışmalarını önlemek amacıyla her bir veri akış ve kontrol faaliyeti için sorumlu kişileri atar. Kontrol faaliyetlerinin olmaması durumunda, bütün veri akış faaliyetlerinin tanımlanmış dâhili riskler ile orantılı olmasını sağlamak için, bu bilgi veya verinin belirlenmesi ve kaydedilmesi aşamasında yer almayan en az bir kişi tarafından onaylanması gerekir. İşletme, sorumlulukların uygun şekilde atanması, eğitim ve performans incelemeleri gibi tüm sorumluluklar için gerekli yetkinlikleri yönetir.</w:t>
      </w:r>
      <w:bookmarkEnd w:id="61"/>
    </w:p>
    <w:p>
      <w:pPr>
        <w:pStyle w:val="ArticleTitle"/>
      </w:pPr>
      <w:r>
        <w:rPr>
          <w:rFonts w:ascii="Avenir Light" w:hAnsi="Avenir Light" w:eastAsia="Avenir Light" w:cs="Avenir Light"/>
          <w:b w:val="0"/>
          <w:i w:val="0"/>
          <w:color w:val="0D5F31"/>
          <w:sz w:val="21"/>
        </w:rPr>
        <w:t>Dâhili incelemeler ve verinin onaylanması</w:t>
      </w:r>
    </w:p>
    <w:p>
      <w:bookmarkStart w:id="62" w:name="madde_53"/>
      <w:pPr>
        <w:pStyle w:val="ArticleText"/>
      </w:pPr>
      <w:r>
        <w:rPr>
          <w:rFonts w:ascii="Avenir Light" w:hAnsi="Avenir Light" w:eastAsia="Avenir Light" w:cs="Avenir Light"/>
          <w:b w:val="0"/>
          <w:i w:val="0"/>
          <w:color w:val="172126"/>
          <w:sz w:val="19"/>
        </w:rPr>
        <w:t xml:space="preserve">MADDE 53 – (1) İşletme, </w:t>
      </w:r>
      <w:hyperlink w:anchor="madde_49" w:history="1">
        <w:r>
          <w:rPr>
            <w:rFonts w:ascii="Avenir Light" w:hAnsi="Avenir Light" w:eastAsia="Avenir Light" w:cs="Avenir Light"/>
            <w:color w:val="188A42"/>
            <w:sz w:val="19"/>
            <w:szCs w:val="19"/>
          </w:rPr>
          <w:t xml:space="preserve">49 uncu madde</w:t>
        </w:r>
      </w:hyperlink>
      <w:r>
        <w:rPr>
          <w:rFonts w:ascii="Avenir Light" w:hAnsi="Avenir Light" w:eastAsia="Avenir Light" w:cs="Avenir Light"/>
          <w:b w:val="0"/>
          <w:i w:val="0"/>
          <w:color w:val="172126"/>
          <w:sz w:val="19"/>
        </w:rPr>
        <w:t xml:space="preserve">nin ikinci fıkrasının (a) bendi ile üçüncü fıkrasının (d) bendi kapsamında yürütülen risk değerlendirmesi sonucunda tanımlanmış olan dâhili risklere ve kontrol risklerine dayanarak, </w:t>
      </w:r>
      <w:hyperlink w:anchor="madde_48" w:history="1">
        <w:r>
          <w:rPr>
            <w:rFonts w:ascii="Avenir Light" w:hAnsi="Avenir Light" w:eastAsia="Avenir Light" w:cs="Avenir Light"/>
            <w:color w:val="188A42"/>
            <w:sz w:val="19"/>
            <w:szCs w:val="19"/>
          </w:rPr>
          <w:t xml:space="preserve">48 inci madde</w:t>
        </w:r>
      </w:hyperlink>
      <w:r>
        <w:rPr>
          <w:rFonts w:ascii="Avenir Light" w:hAnsi="Avenir Light" w:eastAsia="Avenir Light" w:cs="Avenir Light"/>
          <w:b w:val="0"/>
          <w:i w:val="0"/>
          <w:color w:val="172126"/>
          <w:sz w:val="19"/>
        </w:rPr>
        <w:t>de belirtilen veri akış faaliyetlerinden kaynaklanan veriyi gözden geçirir ve doğrular. Verinin bu şekilde gözden geçirilmesi ve doğrulanması bağlamında en az aşağıdaki hususlar dikkate alınır.</w:t>
      </w:r>
      <w:bookmarkEnd w:id="62"/>
    </w:p>
    <w:p>
      <w:pPr>
        <w:pStyle w:val="LegalList"/>
      </w:pPr>
      <w:r>
        <w:rPr>
          <w:rFonts w:ascii="Avenir Light" w:hAnsi="Avenir Light" w:eastAsia="Avenir Light" w:cs="Avenir Light"/>
          <w:b w:val="0"/>
          <w:i w:val="0"/>
          <w:color w:val="172126"/>
          <w:sz w:val="19"/>
        </w:rPr>
        <w:t>a) Verinin tam olmasına dair kontroller yapılır.</w:t>
      </w:r>
    </w:p>
    <w:p>
      <w:pPr>
        <w:pStyle w:val="LegalList"/>
      </w:pPr>
      <w:r>
        <w:rPr>
          <w:rFonts w:ascii="Avenir Light" w:hAnsi="Avenir Light" w:eastAsia="Avenir Light" w:cs="Avenir Light"/>
          <w:b w:val="0"/>
          <w:i w:val="0"/>
          <w:color w:val="172126"/>
          <w:sz w:val="19"/>
        </w:rPr>
        <w:t>b) İşletme tarafından geçmiş yıllarda elde edilen, izlenen ve raporlanan verilerin karşılaştırılması gerçekleştirilir.</w:t>
      </w:r>
    </w:p>
    <w:p>
      <w:pPr>
        <w:pStyle w:val="LegalList"/>
      </w:pPr>
      <w:r>
        <w:rPr>
          <w:rFonts w:ascii="Avenir Light" w:hAnsi="Avenir Light" w:eastAsia="Avenir Light" w:cs="Avenir Light"/>
          <w:b w:val="0"/>
          <w:i w:val="0"/>
          <w:color w:val="172126"/>
          <w:sz w:val="19"/>
        </w:rPr>
        <w:t>c) Uygun olan durumlarda, farklı veri toplama sistemlerinden alınan veri ve değerlerin aşağıdaki şekillerde karşılaştırılması gerekir:</w:t>
      </w:r>
    </w:p>
    <w:p>
      <w:pPr>
        <w:pStyle w:val="LegalList"/>
      </w:pPr>
      <w:r>
        <w:rPr>
          <w:rFonts w:ascii="Avenir Light" w:hAnsi="Avenir Light" w:eastAsia="Avenir Light" w:cs="Avenir Light"/>
          <w:b w:val="0"/>
          <w:i w:val="0"/>
          <w:color w:val="172126"/>
          <w:sz w:val="19"/>
        </w:rPr>
        <w:t>1) Yakıt veya malzeme satın alma verisi ile stok değişiklikleri verisi ve ilgili kaynak akışlarında tüketim verisi arasında karşılaştırma,</w:t>
      </w:r>
    </w:p>
    <w:p>
      <w:pPr>
        <w:pStyle w:val="LegalList"/>
      </w:pPr>
      <w:r>
        <w:rPr>
          <w:rFonts w:ascii="Avenir Light" w:hAnsi="Avenir Light" w:eastAsia="Avenir Light" w:cs="Avenir Light"/>
          <w:b w:val="0"/>
          <w:i w:val="0"/>
          <w:color w:val="172126"/>
          <w:sz w:val="19"/>
        </w:rPr>
        <w:t>2) Yakıt veya malzemeler için analiz, hesap veya tedarikçi ile belirlenen hesaplama faktörleri ile söz konusu yakıt veya malzemeler ile karşılaştırılabilir yakıt veya malzemelerin ulusal veya uluslararası referans faktörleri arasında karşılaştırma,</w:t>
      </w:r>
    </w:p>
    <w:p>
      <w:pPr>
        <w:pStyle w:val="LegalList"/>
      </w:pPr>
      <w:r>
        <w:rPr>
          <w:rFonts w:ascii="Avenir Light" w:hAnsi="Avenir Light" w:eastAsia="Avenir Light" w:cs="Avenir Light"/>
          <w:b w:val="0"/>
          <w:i w:val="0"/>
          <w:color w:val="172126"/>
          <w:sz w:val="19"/>
        </w:rPr>
        <w:t xml:space="preserve">3) Ölçüm temelli yöntemlerle elde edilen emisyonlar ile </w:t>
      </w:r>
      <w:hyperlink w:anchor="madde_44" w:history="1">
        <w:r>
          <w:rPr>
            <w:rFonts w:ascii="Avenir Light" w:hAnsi="Avenir Light" w:eastAsia="Avenir Light" w:cs="Avenir Light"/>
            <w:color w:val="188A42"/>
            <w:sz w:val="19"/>
            <w:szCs w:val="19"/>
          </w:rPr>
          <w:t xml:space="preserve">44 üncü madde</w:t>
        </w:r>
      </w:hyperlink>
      <w:r>
        <w:rPr>
          <w:rFonts w:ascii="Avenir Light" w:hAnsi="Avenir Light" w:eastAsia="Avenir Light" w:cs="Avenir Light"/>
          <w:b w:val="0"/>
          <w:i w:val="0"/>
          <w:color w:val="172126"/>
          <w:sz w:val="19"/>
        </w:rPr>
        <w:t xml:space="preserve"> kapsamında gerçekleştirilen teyit hesaplarını karşılaştırma,</w:t>
      </w:r>
    </w:p>
    <w:p>
      <w:pPr>
        <w:pStyle w:val="LegalList"/>
      </w:pPr>
      <w:r>
        <w:rPr>
          <w:rFonts w:ascii="Avenir Light" w:hAnsi="Avenir Light" w:eastAsia="Avenir Light" w:cs="Avenir Light"/>
          <w:b w:val="0"/>
          <w:i w:val="0"/>
          <w:color w:val="172126"/>
          <w:sz w:val="19"/>
        </w:rPr>
        <w:t>4) Toplanmış veri ile ham veriyi karşılaştırma.</w:t>
      </w:r>
    </w:p>
    <w:p>
      <w:pPr>
        <w:pStyle w:val="LegalList"/>
      </w:pPr>
      <w:r>
        <w:rPr>
          <w:rFonts w:ascii="Avenir Light" w:hAnsi="Avenir Light" w:eastAsia="Avenir Light" w:cs="Avenir Light"/>
          <w:b w:val="0"/>
          <w:i w:val="0"/>
          <w:color w:val="172126"/>
          <w:sz w:val="19"/>
        </w:rPr>
        <w:t>(2) İşletme, gözden geçirme ve doğrulama işlerinin bir parçası olan veriyi reddetme kriterlerinin başlangıçta bilinmesini temin eder. Bu amaçla veriyi reddetme kriterleri yazılı prosedürlerde ortaya konur.</w:t>
      </w:r>
    </w:p>
    <w:p>
      <w:pPr>
        <w:pStyle w:val="ArticleTitle"/>
      </w:pPr>
      <w:r>
        <w:rPr>
          <w:rFonts w:ascii="Avenir Light" w:hAnsi="Avenir Light" w:eastAsia="Avenir Light" w:cs="Avenir Light"/>
          <w:b w:val="0"/>
          <w:i w:val="0"/>
          <w:color w:val="0D5F31"/>
          <w:sz w:val="21"/>
        </w:rPr>
        <w:t>Düzeltmeler ve düzeltici faaliyetler</w:t>
      </w:r>
    </w:p>
    <w:p>
      <w:bookmarkStart w:id="63" w:name="madde_54"/>
      <w:pPr>
        <w:pStyle w:val="ArticleText"/>
      </w:pPr>
      <w:r>
        <w:rPr>
          <w:rFonts w:ascii="Avenir Light" w:hAnsi="Avenir Light" w:eastAsia="Avenir Light" w:cs="Avenir Light"/>
          <w:b w:val="0"/>
          <w:i w:val="0"/>
          <w:color w:val="172126"/>
          <w:sz w:val="19"/>
        </w:rPr>
        <w:t xml:space="preserve">MADDE 54 – (1) </w:t>
      </w:r>
      <w:hyperlink w:anchor="madde_48" w:history="1">
        <w:r>
          <w:rPr>
            <w:rFonts w:ascii="Avenir Light" w:hAnsi="Avenir Light" w:eastAsia="Avenir Light" w:cs="Avenir Light"/>
            <w:color w:val="188A42"/>
            <w:sz w:val="19"/>
            <w:szCs w:val="19"/>
          </w:rPr>
          <w:t xml:space="preserve">48 inci madde</w:t>
        </w:r>
      </w:hyperlink>
      <w:r>
        <w:rPr>
          <w:rFonts w:ascii="Avenir Light" w:hAnsi="Avenir Light" w:eastAsia="Avenir Light" w:cs="Avenir Light"/>
          <w:b w:val="0"/>
          <w:i w:val="0"/>
          <w:color w:val="172126"/>
          <w:sz w:val="19"/>
        </w:rPr>
        <w:t xml:space="preserve"> kapsamındaki veri akış faaliyetlerinin veya </w:t>
      </w:r>
      <w:hyperlink w:anchor="madde_49" w:history="1">
        <w:r>
          <w:rPr>
            <w:rFonts w:ascii="Avenir Light" w:hAnsi="Avenir Light" w:eastAsia="Avenir Light" w:cs="Avenir Light"/>
            <w:color w:val="188A42"/>
            <w:sz w:val="19"/>
            <w:szCs w:val="19"/>
          </w:rPr>
          <w:t xml:space="preserve">49 uncu madde</w:t>
        </w:r>
      </w:hyperlink>
      <w:r>
        <w:rPr>
          <w:rFonts w:ascii="Avenir Light" w:hAnsi="Avenir Light" w:eastAsia="Avenir Light" w:cs="Avenir Light"/>
          <w:b w:val="0"/>
          <w:i w:val="0"/>
          <w:color w:val="172126"/>
          <w:sz w:val="19"/>
        </w:rPr>
        <w:t xml:space="preserve"> kapsamındaki kontrol faaliyetlerinin herhangi bir parçasının etkili olmadığı durumlarda veya bu veri akış faaliyetleri ve kontrol faaliyetleri için prosedürlerde ortaya konan sınırların dışına çıkıldığı durumlarda, işletme uygun düzeltmeleri yapar ve emisyonların düşük tahminini önlemek için reddedilmiş veriyi düzeltir.</w:t>
      </w:r>
      <w:bookmarkEnd w:id="63"/>
    </w:p>
    <w:p>
      <w:pPr>
        <w:pStyle w:val="LegalList"/>
      </w:pPr>
      <w:r>
        <w:rPr>
          <w:rFonts w:ascii="Avenir Light" w:hAnsi="Avenir Light" w:eastAsia="Avenir Light" w:cs="Avenir Light"/>
          <w:b w:val="0"/>
          <w:i w:val="0"/>
          <w:color w:val="172126"/>
          <w:sz w:val="19"/>
        </w:rPr>
        <w:t>(2) İşletme, birinci fıkrada yer alan hususları yerine getirmek için aşağıdaki işleri yürütür:</w:t>
      </w:r>
    </w:p>
    <w:p>
      <w:pPr>
        <w:pStyle w:val="LegalList"/>
      </w:pPr>
      <w:r>
        <w:rPr>
          <w:rFonts w:ascii="Avenir Light" w:hAnsi="Avenir Light" w:eastAsia="Avenir Light" w:cs="Avenir Light"/>
          <w:b w:val="0"/>
          <w:i w:val="0"/>
          <w:color w:val="172126"/>
          <w:sz w:val="19"/>
        </w:rPr>
        <w:t xml:space="preserve">a) </w:t>
      </w:r>
      <w:hyperlink w:anchor="madde_48" w:history="1">
        <w:r>
          <w:rPr>
            <w:rFonts w:ascii="Avenir Light" w:hAnsi="Avenir Light" w:eastAsia="Avenir Light" w:cs="Avenir Light"/>
            <w:color w:val="188A42"/>
            <w:sz w:val="19"/>
            <w:szCs w:val="19"/>
          </w:rPr>
          <w:t xml:space="preserve">48 inci madde</w:t>
        </w:r>
      </w:hyperlink>
      <w:r>
        <w:rPr>
          <w:rFonts w:ascii="Avenir Light" w:hAnsi="Avenir Light" w:eastAsia="Avenir Light" w:cs="Avenir Light"/>
          <w:b w:val="0"/>
          <w:i w:val="0"/>
          <w:color w:val="172126"/>
          <w:sz w:val="19"/>
        </w:rPr>
        <w:t xml:space="preserve">deki veri akış faaliyetleri veya </w:t>
      </w:r>
      <w:hyperlink w:anchor="madde_49" w:history="1">
        <w:r>
          <w:rPr>
            <w:rFonts w:ascii="Avenir Light" w:hAnsi="Avenir Light" w:eastAsia="Avenir Light" w:cs="Avenir Light"/>
            <w:color w:val="188A42"/>
            <w:sz w:val="19"/>
            <w:szCs w:val="19"/>
          </w:rPr>
          <w:t xml:space="preserve">49 uncu madde</w:t>
        </w:r>
      </w:hyperlink>
      <w:r>
        <w:rPr>
          <w:rFonts w:ascii="Avenir Light" w:hAnsi="Avenir Light" w:eastAsia="Avenir Light" w:cs="Avenir Light"/>
          <w:b w:val="0"/>
          <w:i w:val="0"/>
          <w:color w:val="172126"/>
          <w:sz w:val="19"/>
        </w:rPr>
        <w:t>deki kontrol faaliyetleri kapsamında uygulanacak adımların çıktılarının geçerliliğinin değerlendirilmesi,</w:t>
      </w:r>
    </w:p>
    <w:p>
      <w:pPr>
        <w:pStyle w:val="LegalList"/>
      </w:pPr>
      <w:r>
        <w:rPr>
          <w:rFonts w:ascii="Avenir Light" w:hAnsi="Avenir Light" w:eastAsia="Avenir Light" w:cs="Avenir Light"/>
          <w:b w:val="0"/>
          <w:i w:val="0"/>
          <w:color w:val="172126"/>
          <w:sz w:val="19"/>
        </w:rPr>
        <w:t>b) İlgili aksaklığın veya hatanın nedeninin belirlenmesi,</w:t>
      </w:r>
    </w:p>
    <w:p>
      <w:pPr>
        <w:pStyle w:val="LegalList"/>
      </w:pPr>
      <w:r>
        <w:rPr>
          <w:rFonts w:ascii="Avenir Light" w:hAnsi="Avenir Light" w:eastAsia="Avenir Light" w:cs="Avenir Light"/>
          <w:b w:val="0"/>
          <w:i w:val="0"/>
          <w:color w:val="172126"/>
          <w:sz w:val="19"/>
        </w:rPr>
        <w:t>c) Emisyon raporunda yer alan verilerin düzeltilmesi dâhil, uygun düzeltici önlemlerin uygulanması.</w:t>
      </w:r>
    </w:p>
    <w:p>
      <w:pPr>
        <w:pStyle w:val="LegalList"/>
      </w:pPr>
      <w:r>
        <w:rPr>
          <w:rFonts w:ascii="Avenir Light" w:hAnsi="Avenir Light" w:eastAsia="Avenir Light" w:cs="Avenir Light"/>
          <w:b w:val="0"/>
          <w:i w:val="0"/>
          <w:color w:val="172126"/>
          <w:sz w:val="19"/>
        </w:rPr>
        <w:t xml:space="preserve">(3) İşletme, birinci fıkrada belirtilen düzeltmeleri ve düzeltici faaliyetleri, </w:t>
      </w:r>
      <w:hyperlink w:anchor="madde_49" w:history="1">
        <w:r>
          <w:rPr>
            <w:rFonts w:ascii="Avenir Light" w:hAnsi="Avenir Light" w:eastAsia="Avenir Light" w:cs="Avenir Light"/>
            <w:color w:val="188A42"/>
            <w:sz w:val="19"/>
            <w:szCs w:val="19"/>
          </w:rPr>
          <w:t xml:space="preserve">49 uncu madde</w:t>
        </w:r>
      </w:hyperlink>
      <w:r>
        <w:rPr>
          <w:rFonts w:ascii="Avenir Light" w:hAnsi="Avenir Light" w:eastAsia="Avenir Light" w:cs="Avenir Light"/>
          <w:b w:val="0"/>
          <w:i w:val="0"/>
          <w:color w:val="172126"/>
          <w:sz w:val="19"/>
        </w:rPr>
        <w:t>de belirtilen risk değerlendirmesi ile belirlenen dâhili riskler ve kontrol risklerine karşılık olarak yürütür.</w:t>
      </w:r>
    </w:p>
    <w:p>
      <w:pPr>
        <w:pStyle w:val="ArticleTitle"/>
      </w:pPr>
      <w:r>
        <w:rPr>
          <w:rFonts w:ascii="Avenir Light" w:hAnsi="Avenir Light" w:eastAsia="Avenir Light" w:cs="Avenir Light"/>
          <w:b w:val="0"/>
          <w:i w:val="0"/>
          <w:color w:val="0D5F31"/>
          <w:sz w:val="21"/>
        </w:rPr>
        <w:t>Hizmet alımı ile gerçekleştirilen faaliyetler</w:t>
      </w:r>
    </w:p>
    <w:p>
      <w:bookmarkStart w:id="64" w:name="madde_55"/>
      <w:pPr>
        <w:pStyle w:val="ArticleText"/>
      </w:pPr>
      <w:r>
        <w:rPr>
          <w:rFonts w:ascii="Avenir Light" w:hAnsi="Avenir Light" w:eastAsia="Avenir Light" w:cs="Avenir Light"/>
          <w:b w:val="0"/>
          <w:i w:val="0"/>
          <w:color w:val="172126"/>
          <w:sz w:val="19"/>
        </w:rPr>
        <w:t>MADDE 55 – (Değişik:RG-5/2/2021-31386)</w:t>
      </w:r>
      <w:bookmarkEnd w:id="64"/>
    </w:p>
    <w:p>
      <w:pPr>
        <w:pStyle w:val="LegalList"/>
      </w:pPr>
      <w:r>
        <w:rPr>
          <w:rFonts w:ascii="Avenir Light" w:hAnsi="Avenir Light" w:eastAsia="Avenir Light" w:cs="Avenir Light"/>
          <w:b w:val="0"/>
          <w:i w:val="0"/>
          <w:color w:val="172126"/>
          <w:sz w:val="19"/>
        </w:rPr>
        <w:t xml:space="preserve">(1) İşletme, </w:t>
      </w:r>
      <w:hyperlink w:anchor="madde_48" w:history="1">
        <w:r>
          <w:rPr>
            <w:rFonts w:ascii="Avenir Light" w:hAnsi="Avenir Light" w:eastAsia="Avenir Light" w:cs="Avenir Light"/>
            <w:color w:val="188A42"/>
            <w:sz w:val="19"/>
            <w:szCs w:val="19"/>
          </w:rPr>
          <w:t xml:space="preserve">48 inci madde</w:t>
        </w:r>
      </w:hyperlink>
      <w:r>
        <w:rPr>
          <w:rFonts w:ascii="Avenir Light" w:hAnsi="Avenir Light" w:eastAsia="Avenir Light" w:cs="Avenir Light"/>
          <w:b w:val="0"/>
          <w:i w:val="0"/>
          <w:color w:val="172126"/>
          <w:sz w:val="19"/>
        </w:rPr>
        <w:t xml:space="preserve"> kapsamındaki veri akış faaliyetlerinden veya </w:t>
      </w:r>
      <w:hyperlink w:anchor="madde_49" w:history="1">
        <w:r>
          <w:rPr>
            <w:rFonts w:ascii="Avenir Light" w:hAnsi="Avenir Light" w:eastAsia="Avenir Light" w:cs="Avenir Light"/>
            <w:color w:val="188A42"/>
            <w:sz w:val="19"/>
            <w:szCs w:val="19"/>
          </w:rPr>
          <w:t xml:space="preserve">49 uncu madde</w:t>
        </w:r>
      </w:hyperlink>
      <w:r>
        <w:rPr>
          <w:rFonts w:ascii="Avenir Light" w:hAnsi="Avenir Light" w:eastAsia="Avenir Light" w:cs="Avenir Light"/>
          <w:b w:val="0"/>
          <w:i w:val="0"/>
          <w:color w:val="172126"/>
          <w:sz w:val="19"/>
        </w:rPr>
        <w:t xml:space="preserve"> kapsamındaki kontrol faaliyetlerinden bir veya daha fazlasını hizmet alımı ile gerçekleştirdiğinde aşağıdaki işleri yürütür:</w:t>
      </w:r>
    </w:p>
    <w:p>
      <w:pPr>
        <w:pStyle w:val="LegalList"/>
      </w:pPr>
      <w:r>
        <w:rPr>
          <w:rFonts w:ascii="Avenir Light" w:hAnsi="Avenir Light" w:eastAsia="Avenir Light" w:cs="Avenir Light"/>
          <w:b w:val="0"/>
          <w:i w:val="0"/>
          <w:color w:val="172126"/>
          <w:sz w:val="19"/>
        </w:rPr>
        <w:t>a) Bu Tebliğ kapsamında hizmet alımı ile gerçekleştirilen veri akış faaliyetlerinin ve kontrol faaliyetlerinin kalitesinin kontrol edilmesi.</w:t>
      </w:r>
    </w:p>
    <w:p>
      <w:pPr>
        <w:pStyle w:val="LegalList"/>
      </w:pPr>
      <w:r>
        <w:rPr>
          <w:rFonts w:ascii="Avenir Light" w:hAnsi="Avenir Light" w:eastAsia="Avenir Light" w:cs="Avenir Light"/>
          <w:b w:val="0"/>
          <w:i w:val="0"/>
          <w:color w:val="172126"/>
          <w:sz w:val="19"/>
        </w:rPr>
        <w:t>b) Hizmet alımı ile gerçekleştirilen faaliyetlerde kullanılan yöntemler ve bu faaliyetlerin çıktıları için uygun gerekliliklerin belirlenmesi ve kalitesinin kontrol edilmesi.</w:t>
      </w:r>
    </w:p>
    <w:p>
      <w:pPr>
        <w:pStyle w:val="LegalList"/>
      </w:pPr>
      <w:r>
        <w:rPr>
          <w:rFonts w:ascii="Avenir Light" w:hAnsi="Avenir Light" w:eastAsia="Avenir Light" w:cs="Avenir Light"/>
          <w:b w:val="0"/>
          <w:i w:val="0"/>
          <w:color w:val="172126"/>
          <w:sz w:val="19"/>
        </w:rPr>
        <w:t xml:space="preserve">c) Hizmet alımı ile gerçekleştirilen faaliyetlerin, </w:t>
      </w:r>
      <w:hyperlink w:anchor="madde_49" w:history="1">
        <w:r>
          <w:rPr>
            <w:rFonts w:ascii="Avenir Light" w:hAnsi="Avenir Light" w:eastAsia="Avenir Light" w:cs="Avenir Light"/>
            <w:color w:val="188A42"/>
            <w:sz w:val="19"/>
            <w:szCs w:val="19"/>
          </w:rPr>
          <w:t xml:space="preserve">49 uncu madde</w:t>
        </w:r>
      </w:hyperlink>
      <w:r>
        <w:rPr>
          <w:rFonts w:ascii="Avenir Light" w:hAnsi="Avenir Light" w:eastAsia="Avenir Light" w:cs="Avenir Light"/>
          <w:b w:val="0"/>
          <w:i w:val="0"/>
          <w:color w:val="172126"/>
          <w:sz w:val="19"/>
        </w:rPr>
        <w:t xml:space="preserve"> kapsamındaki risk değerlendirmesinde belirlenen dâhili riskler ve kontrol risklerine karşılık olarak yürütülmesinin sağlanması.</w:t>
      </w:r>
    </w:p>
    <w:p>
      <w:pPr>
        <w:pStyle w:val="ArticleTitle"/>
      </w:pPr>
      <w:r>
        <w:rPr>
          <w:rFonts w:ascii="Avenir Light" w:hAnsi="Avenir Light" w:eastAsia="Avenir Light" w:cs="Avenir Light"/>
          <w:b w:val="0"/>
          <w:i w:val="0"/>
          <w:color w:val="0D5F31"/>
          <w:sz w:val="21"/>
        </w:rPr>
        <w:t>Veri boşluklarının giderilmesi</w:t>
      </w:r>
    </w:p>
    <w:p>
      <w:bookmarkStart w:id="65" w:name="madde_56"/>
      <w:pPr>
        <w:pStyle w:val="ArticleText"/>
      </w:pPr>
      <w:r>
        <w:rPr>
          <w:rFonts w:ascii="Avenir Light" w:hAnsi="Avenir Light" w:eastAsia="Avenir Light" w:cs="Avenir Light"/>
          <w:b w:val="0"/>
          <w:i w:val="0"/>
          <w:color w:val="172126"/>
          <w:sz w:val="19"/>
        </w:rPr>
        <w:t>MADDE 56 – (Başlığı ile Birlikte Değişik:RG-5/2/2021-31386)</w:t>
      </w:r>
      <w:bookmarkEnd w:id="65"/>
    </w:p>
    <w:p>
      <w:pPr>
        <w:pStyle w:val="LegalList"/>
      </w:pPr>
      <w:r>
        <w:rPr>
          <w:rFonts w:ascii="Avenir Light" w:hAnsi="Avenir Light" w:eastAsia="Avenir Light" w:cs="Avenir Light"/>
          <w:b w:val="0"/>
          <w:i w:val="0"/>
          <w:color w:val="172126"/>
          <w:sz w:val="19"/>
        </w:rPr>
        <w:t xml:space="preserve">(1) Bir tesisin emisyonlarının belirlenmesi ile ilgili verinin kayıp olduğu durumlarda, işletme ilgili zaman dönemi ve kayıp parametre için ihtiyatlı ikame verisinin belirlenmesi amacıyla uygun bir tahmin yöntemi kullanır. İşletme, tahmin yöntemi için yazılı bir prosedür oluşturur ve </w:t>
      </w:r>
      <w:hyperlink w:anchor="madde_13" w:history="1">
        <w:r>
          <w:rPr>
            <w:rFonts w:ascii="Avenir Light" w:hAnsi="Avenir Light" w:eastAsia="Avenir Light" w:cs="Avenir Light"/>
            <w:color w:val="188A42"/>
            <w:sz w:val="19"/>
            <w:szCs w:val="19"/>
          </w:rPr>
          <w:t xml:space="preserve">13 üncü madde</w:t>
        </w:r>
      </w:hyperlink>
      <w:r>
        <w:rPr>
          <w:rFonts w:ascii="Avenir Light" w:hAnsi="Avenir Light" w:eastAsia="Avenir Light" w:cs="Avenir Light"/>
          <w:b w:val="0"/>
          <w:i w:val="0"/>
          <w:color w:val="172126"/>
          <w:sz w:val="19"/>
        </w:rPr>
        <w:t xml:space="preserve"> kapsamında izleme planını günceller.</w:t>
      </w:r>
    </w:p>
    <w:p>
      <w:pPr>
        <w:pStyle w:val="ArticleTitle"/>
      </w:pPr>
      <w:r>
        <w:rPr>
          <w:rFonts w:ascii="Avenir Light" w:hAnsi="Avenir Light" w:eastAsia="Avenir Light" w:cs="Avenir Light"/>
          <w:b w:val="0"/>
          <w:i w:val="0"/>
          <w:color w:val="0D5F31"/>
          <w:sz w:val="21"/>
        </w:rPr>
        <w:t>Kayıtlar ve belgelendirme</w:t>
      </w:r>
    </w:p>
    <w:p>
      <w:bookmarkStart w:id="66" w:name="madde_57"/>
      <w:pPr>
        <w:pStyle w:val="ArticleText"/>
      </w:pPr>
      <w:r>
        <w:rPr>
          <w:rFonts w:ascii="Avenir Light" w:hAnsi="Avenir Light" w:eastAsia="Avenir Light" w:cs="Avenir Light"/>
          <w:b w:val="0"/>
          <w:i w:val="0"/>
          <w:color w:val="172126"/>
          <w:sz w:val="19"/>
        </w:rPr>
        <w:t xml:space="preserve">MADDE 57 – (1) İşletme, </w:t>
      </w:r>
      <w:hyperlink w:anchor="ek_8" w:history="1">
        <w:r>
          <w:rPr>
            <w:rFonts w:ascii="Avenir Light" w:hAnsi="Avenir Light" w:eastAsia="Avenir Light" w:cs="Avenir Light"/>
            <w:color w:val="188A42"/>
            <w:sz w:val="19"/>
            <w:szCs w:val="19"/>
          </w:rPr>
          <w:t xml:space="preserve">ek-8</w:t>
        </w:r>
      </w:hyperlink>
      <w:r>
        <w:rPr>
          <w:rFonts w:ascii="Avenir Light" w:hAnsi="Avenir Light" w:eastAsia="Avenir Light" w:cs="Avenir Light"/>
          <w:b w:val="0"/>
          <w:i w:val="0"/>
          <w:color w:val="172126"/>
          <w:sz w:val="19"/>
        </w:rPr>
        <w:t>’de listelenen bilgiler de dâhil olmak üzere ilgili bütün veri ve bilgiyi en az 10 yıl saklar. Belgelendirilmiş ve arşivlenmiş izleme verisi, Yönetmelik ile doğrulama ve akreditasyona ilişkin mevzuat kapsamında, yıllık emisyon raporlarının doğrulanmasına imkan sağlayacak şekilde oluşturulur.</w:t>
      </w:r>
      <w:bookmarkEnd w:id="66"/>
    </w:p>
    <w:p>
      <w:pPr>
        <w:pStyle w:val="LegalList"/>
      </w:pPr>
      <w:r>
        <w:rPr>
          <w:rFonts w:ascii="Avenir Light" w:hAnsi="Avenir Light" w:eastAsia="Avenir Light" w:cs="Avenir Light"/>
          <w:b w:val="0"/>
          <w:i w:val="0"/>
          <w:color w:val="172126"/>
          <w:sz w:val="19"/>
        </w:rPr>
        <w:t>(2) İşletme, ilgili bütün belgelerin, kontrol faaliyetlerinin yanı sıra veri akış faaliyetlerini yürütmek amacıyla, her zaman erişilebilir olmalarını temin etmelidir. İşletme, bu belgeleri, Yönetmelik ile doğrulama ve akreditasyona ilişkin mevzuat kapsamında, emisyon raporlarını doğrulayan doğrulayıcı kuruluşun ve Bakanlığın talep etmesi durumunda vermekle yükümlüdür.</w:t>
      </w:r>
    </w:p>
    <w:p>
      <w:pPr>
        <w:pStyle w:val="PartLabel"/>
      </w:pPr>
      <w:r>
        <w:rPr>
          <w:rFonts w:ascii="Avenir Light" w:hAnsi="Avenir Light" w:eastAsia="Avenir Light" w:cs="Avenir Light"/>
          <w:b w:val="0"/>
          <w:i w:val="0"/>
          <w:color w:val="0D5F31"/>
          <w:sz w:val="26"/>
        </w:rPr>
        <w:t>DOKUZUNCU BÖLÜM</w:t>
      </w:r>
    </w:p>
    <w:p>
      <w:pPr>
        <w:pStyle w:val="PartTitle"/>
      </w:pPr>
      <w:r>
        <w:rPr>
          <w:rFonts w:ascii="Avenir Light" w:hAnsi="Avenir Light" w:eastAsia="Avenir Light" w:cs="Avenir Light"/>
          <w:b w:val="0"/>
          <w:i w:val="0"/>
          <w:color w:val="172126"/>
          <w:sz w:val="22"/>
        </w:rPr>
        <w:t>Raporlama Koşulları</w:t>
      </w:r>
    </w:p>
    <w:p>
      <w:pPr>
        <w:pStyle w:val="ArticleTitle"/>
      </w:pPr>
      <w:r>
        <w:rPr>
          <w:rFonts w:ascii="Avenir Light" w:hAnsi="Avenir Light" w:eastAsia="Avenir Light" w:cs="Avenir Light"/>
          <w:b w:val="0"/>
          <w:i w:val="0"/>
          <w:color w:val="0D5F31"/>
          <w:sz w:val="21"/>
        </w:rPr>
        <w:t>Raporlama için zamanlama ve zorunluluklar</w:t>
      </w:r>
    </w:p>
    <w:p>
      <w:bookmarkStart w:id="67" w:name="madde_58"/>
      <w:pPr>
        <w:pStyle w:val="ArticleText"/>
      </w:pPr>
      <w:r>
        <w:rPr>
          <w:rFonts w:ascii="Avenir Light" w:hAnsi="Avenir Light" w:eastAsia="Avenir Light" w:cs="Avenir Light"/>
          <w:b w:val="0"/>
          <w:i w:val="0"/>
          <w:color w:val="172126"/>
          <w:sz w:val="19"/>
        </w:rPr>
        <w:t>MADDE 58 – (1) İşletme raporlama döneminin yıllık emisyonlarını kapsayan ve Yönetmelik, doğrulama ve akreditasyona ilişkin mevzuat ile uyumlu olarak doğrulanan emisyon raporunu her yıl 30 Nisan tarihine kadar Bakanlığa sunar.</w:t>
      </w:r>
      <w:bookmarkEnd w:id="67"/>
    </w:p>
    <w:p>
      <w:pPr>
        <w:pStyle w:val="LegalList"/>
      </w:pPr>
      <w:r>
        <w:rPr>
          <w:rFonts w:ascii="Avenir Light" w:hAnsi="Avenir Light" w:eastAsia="Avenir Light" w:cs="Avenir Light"/>
          <w:b w:val="0"/>
          <w:i w:val="0"/>
          <w:color w:val="172126"/>
          <w:sz w:val="19"/>
        </w:rPr>
        <w:t xml:space="preserve">(2) Yıllık emisyon raporları asgari düzeyde </w:t>
      </w:r>
      <w:hyperlink w:anchor="ek_9" w:history="1">
        <w:r>
          <w:rPr>
            <w:rFonts w:ascii="Avenir Light" w:hAnsi="Avenir Light" w:eastAsia="Avenir Light" w:cs="Avenir Light"/>
            <w:color w:val="188A42"/>
            <w:sz w:val="19"/>
            <w:szCs w:val="19"/>
          </w:rPr>
          <w:t xml:space="preserve">ek-9</w:t>
        </w:r>
      </w:hyperlink>
      <w:r>
        <w:rPr>
          <w:rFonts w:ascii="Avenir Light" w:hAnsi="Avenir Light" w:eastAsia="Avenir Light" w:cs="Avenir Light"/>
          <w:b w:val="0"/>
          <w:i w:val="0"/>
          <w:color w:val="172126"/>
          <w:sz w:val="19"/>
        </w:rPr>
        <w:t>’da listelenen bilgileri içerir.</w:t>
      </w:r>
    </w:p>
    <w:p>
      <w:pPr>
        <w:pStyle w:val="ArticleTitle"/>
      </w:pPr>
      <w:r>
        <w:rPr>
          <w:rFonts w:ascii="Avenir Light" w:hAnsi="Avenir Light" w:eastAsia="Avenir Light" w:cs="Avenir Light"/>
          <w:b w:val="0"/>
          <w:i w:val="0"/>
          <w:color w:val="0D5F31"/>
          <w:sz w:val="21"/>
        </w:rPr>
        <w:t>İzleme yöntemine ilişkin iyileştirmelerin raporlanması</w:t>
      </w:r>
    </w:p>
    <w:p>
      <w:bookmarkStart w:id="68" w:name="madde_59"/>
      <w:pPr>
        <w:pStyle w:val="ArticleText"/>
      </w:pPr>
      <w:r>
        <w:rPr>
          <w:rFonts w:ascii="Avenir Light" w:hAnsi="Avenir Light" w:eastAsia="Avenir Light" w:cs="Avenir Light"/>
          <w:b w:val="0"/>
          <w:i w:val="0"/>
          <w:color w:val="172126"/>
          <w:sz w:val="19"/>
        </w:rPr>
        <w:t>MADDE 59 – (1) (Değişik:RG-5/2/2021-31386) İşletme, uygulanan izleme yönteminin geliştirilebilme potansiyelini düzenli olarak kontrol eder. Tesis, ikinci veya üçüncü fıkralar kapsamındaki bilgiyi içeren bir iyileştirme raporunu, tesisin kategorisine göre aşağıda belirtilen tarihlerde Bakanlığa sunar:</w:t>
      </w:r>
      <w:bookmarkEnd w:id="68"/>
    </w:p>
    <w:p>
      <w:pPr>
        <w:pStyle w:val="LegalList"/>
      </w:pPr>
      <w:r>
        <w:rPr>
          <w:rFonts w:ascii="Avenir Light" w:hAnsi="Avenir Light" w:eastAsia="Avenir Light" w:cs="Avenir Light"/>
          <w:b w:val="0"/>
          <w:i w:val="0"/>
          <w:color w:val="172126"/>
          <w:sz w:val="19"/>
        </w:rPr>
        <w:t>a) Kategori A tesisi için, her dört senede bir 30 Haziran,</w:t>
      </w:r>
    </w:p>
    <w:p>
      <w:pPr>
        <w:pStyle w:val="LegalList"/>
      </w:pPr>
      <w:r>
        <w:rPr>
          <w:rFonts w:ascii="Avenir Light" w:hAnsi="Avenir Light" w:eastAsia="Avenir Light" w:cs="Avenir Light"/>
          <w:b w:val="0"/>
          <w:i w:val="0"/>
          <w:color w:val="172126"/>
          <w:sz w:val="19"/>
        </w:rPr>
        <w:t>b) Kategori B tesisi için, her iki senede bir 30 Haziran,</w:t>
      </w:r>
    </w:p>
    <w:p>
      <w:pPr>
        <w:pStyle w:val="LegalList"/>
      </w:pPr>
      <w:r>
        <w:rPr>
          <w:rFonts w:ascii="Avenir Light" w:hAnsi="Avenir Light" w:eastAsia="Avenir Light" w:cs="Avenir Light"/>
          <w:b w:val="0"/>
          <w:i w:val="0"/>
          <w:color w:val="172126"/>
          <w:sz w:val="19"/>
        </w:rPr>
        <w:t>c) Kategori C tesisi için, her sene 30 Haziran.</w:t>
      </w:r>
    </w:p>
    <w:p>
      <w:pPr>
        <w:pStyle w:val="LegalList"/>
      </w:pPr>
      <w:r>
        <w:rPr>
          <w:rFonts w:ascii="Avenir Light" w:hAnsi="Avenir Light" w:eastAsia="Avenir Light" w:cs="Avenir Light"/>
          <w:b w:val="0"/>
          <w:i w:val="0"/>
          <w:color w:val="172126"/>
          <w:sz w:val="19"/>
        </w:rPr>
        <w:t xml:space="preserve">(2) İşletme, </w:t>
      </w:r>
      <w:hyperlink w:anchor="madde_24" w:history="1">
        <w:r>
          <w:rPr>
            <w:rFonts w:ascii="Avenir Light" w:hAnsi="Avenir Light" w:eastAsia="Avenir Light" w:cs="Avenir Light"/>
            <w:color w:val="188A42"/>
            <w:sz w:val="19"/>
            <w:szCs w:val="19"/>
          </w:rPr>
          <w:t xml:space="preserve">24 üncü madde</w:t>
        </w:r>
      </w:hyperlink>
      <w:r>
        <w:rPr>
          <w:rFonts w:ascii="Avenir Light" w:hAnsi="Avenir Light" w:eastAsia="Avenir Light" w:cs="Avenir Light"/>
          <w:b w:val="0"/>
          <w:i w:val="0"/>
          <w:color w:val="172126"/>
          <w:sz w:val="19"/>
        </w:rPr>
        <w:t xml:space="preserve">nin birinci fıkrası ve </w:t>
      </w:r>
      <w:hyperlink w:anchor="madde_39" w:history="1">
        <w:r>
          <w:rPr>
            <w:rFonts w:ascii="Avenir Light" w:hAnsi="Avenir Light" w:eastAsia="Avenir Light" w:cs="Avenir Light"/>
            <w:color w:val="188A42"/>
            <w:sz w:val="19"/>
            <w:szCs w:val="19"/>
          </w:rPr>
          <w:t xml:space="preserve">39 uncu madde</w:t>
        </w:r>
      </w:hyperlink>
      <w:r>
        <w:rPr>
          <w:rFonts w:ascii="Avenir Light" w:hAnsi="Avenir Light" w:eastAsia="Avenir Light" w:cs="Avenir Light"/>
          <w:b w:val="0"/>
          <w:i w:val="0"/>
          <w:color w:val="172126"/>
          <w:sz w:val="19"/>
        </w:rPr>
        <w:t xml:space="preserve">nin birinci fıkrasına uygun kademeleri uygulayamadığı durumlarda, gerekli kademeleri uygulamanın teknik olarak elverişli olmadığına dair bilgi ve belgeleri Bakanlığa onay için gönderir. Ancak, bu kademelere ulaşmak için gerekli önlemler teknik olarak elverişli hale geldiğinde, işletme, </w:t>
      </w:r>
      <w:hyperlink w:anchor="madde_14" w:history="1">
        <w:r>
          <w:rPr>
            <w:rFonts w:ascii="Avenir Light" w:hAnsi="Avenir Light" w:eastAsia="Avenir Light" w:cs="Avenir Light"/>
            <w:color w:val="188A42"/>
            <w:sz w:val="19"/>
            <w:szCs w:val="19"/>
          </w:rPr>
          <w:t xml:space="preserve">14 üncü madde</w:t>
        </w:r>
      </w:hyperlink>
      <w:r>
        <w:rPr>
          <w:rFonts w:ascii="Avenir Light" w:hAnsi="Avenir Light" w:eastAsia="Avenir Light" w:cs="Avenir Light"/>
          <w:b w:val="0"/>
          <w:i w:val="0"/>
          <w:color w:val="172126"/>
          <w:sz w:val="19"/>
        </w:rPr>
        <w:t xml:space="preserve"> kapsamında, izleme planında yapılacak değişiklikleri Bakanlığa sunar.</w:t>
      </w:r>
    </w:p>
    <w:p>
      <w:pPr>
        <w:pStyle w:val="LegalList"/>
      </w:pPr>
      <w:r>
        <w:rPr>
          <w:rFonts w:ascii="Avenir Light" w:hAnsi="Avenir Light" w:eastAsia="Avenir Light" w:cs="Avenir Light"/>
          <w:b w:val="0"/>
          <w:i w:val="0"/>
          <w:color w:val="172126"/>
          <w:sz w:val="19"/>
        </w:rPr>
        <w:t xml:space="preserve">(3) İşletme, </w:t>
      </w:r>
      <w:hyperlink w:anchor="madde_20" w:history="1">
        <w:r>
          <w:rPr>
            <w:rFonts w:ascii="Avenir Light" w:hAnsi="Avenir Light" w:eastAsia="Avenir Light" w:cs="Avenir Light"/>
            <w:color w:val="188A42"/>
            <w:sz w:val="19"/>
            <w:szCs w:val="19"/>
          </w:rPr>
          <w:t xml:space="preserve">20 nci madde</w:t>
        </w:r>
      </w:hyperlink>
      <w:r>
        <w:rPr>
          <w:rFonts w:ascii="Avenir Light" w:hAnsi="Avenir Light" w:eastAsia="Avenir Light" w:cs="Avenir Light"/>
          <w:b w:val="0"/>
          <w:i w:val="0"/>
          <w:color w:val="172126"/>
          <w:sz w:val="19"/>
        </w:rPr>
        <w:t xml:space="preserve"> kapsamında asgari yöntemi uyguladığı durumlarda, bir veya daha fazla büyük veya küçük kaynak akışında en az kademe 1’i uygulamanın teknik olarak elverişsiz olmasına ilişkin bilgi ve belgeleri Bakanlığa gönderir. Ancak, en az kademe 1’e ulaşmak için gerekli önlemler teknik olarak elverişli hale geldiğinde, işletme, </w:t>
      </w:r>
      <w:hyperlink w:anchor="madde_14" w:history="1">
        <w:r>
          <w:rPr>
            <w:rFonts w:ascii="Avenir Light" w:hAnsi="Avenir Light" w:eastAsia="Avenir Light" w:cs="Avenir Light"/>
            <w:color w:val="188A42"/>
            <w:sz w:val="19"/>
            <w:szCs w:val="19"/>
          </w:rPr>
          <w:t xml:space="preserve">14 üncü madde</w:t>
        </w:r>
      </w:hyperlink>
      <w:r>
        <w:rPr>
          <w:rFonts w:ascii="Avenir Light" w:hAnsi="Avenir Light" w:eastAsia="Avenir Light" w:cs="Avenir Light"/>
          <w:b w:val="0"/>
          <w:i w:val="0"/>
          <w:color w:val="172126"/>
          <w:sz w:val="19"/>
        </w:rPr>
        <w:t xml:space="preserve"> kapsamında, izleme planında yapılacak değişiklikleri Bakanlığa sunar.</w:t>
      </w:r>
    </w:p>
    <w:p>
      <w:pPr>
        <w:pStyle w:val="LegalList"/>
      </w:pPr>
      <w:r>
        <w:rPr>
          <w:rFonts w:ascii="Avenir Light" w:hAnsi="Avenir Light" w:eastAsia="Avenir Light" w:cs="Avenir Light"/>
          <w:b w:val="0"/>
          <w:i w:val="0"/>
          <w:color w:val="172126"/>
          <w:sz w:val="19"/>
        </w:rPr>
        <w:t>(4) (Değişik:RG-5/2/2021-31386) Yönetmelik ile doğrulama ve akreditasyona ilişkin mevzuat kapsamında oluşturulan doğrulama raporunda önemli uyumsuzluklar veya öneriler varsa, işletme, doğrulayıcı kuruluş tarafından doğrulama raporunun yayımlandığı yılın 30 Haziran tarihinde iyileştirme raporunu Bakanlığa sunar. Bu raporda, işletme, uyumsuzlukları nasıl ve ne zaman düzelttiğini veya düzeltmeyi planladığını ve tavsiye edilen iyileştirmeleri nasıl ve ne zaman uygulayacağını açıklar. Uygun olan durumlarda, bu fıkra kapsamında sunulacak rapor, birinci fıkra kapsamında sunulacak olan rapor ile birleştirilebilir.</w:t>
      </w:r>
    </w:p>
    <w:p>
      <w:pPr>
        <w:pStyle w:val="ArticleTitle"/>
      </w:pPr>
      <w:r>
        <w:rPr>
          <w:rFonts w:ascii="Avenir Light" w:hAnsi="Avenir Light" w:eastAsia="Avenir Light" w:cs="Avenir Light"/>
          <w:b w:val="0"/>
          <w:i w:val="0"/>
          <w:color w:val="0D5F31"/>
          <w:sz w:val="21"/>
        </w:rPr>
        <w:t>Verinin yuvarlanması</w:t>
      </w:r>
    </w:p>
    <w:p>
      <w:bookmarkStart w:id="69" w:name="madde_60"/>
      <w:pPr>
        <w:pStyle w:val="ArticleText"/>
      </w:pPr>
      <w:r>
        <w:rPr>
          <w:rFonts w:ascii="Avenir Light" w:hAnsi="Avenir Light" w:eastAsia="Avenir Light" w:cs="Avenir Light"/>
          <w:b w:val="0"/>
          <w:i w:val="0"/>
          <w:color w:val="172126"/>
          <w:sz w:val="19"/>
        </w:rPr>
        <w:t>MADDE 60 – (1) (Değişik:RG-5/2/2021-31386) Yıllık toplam emisyonlar ton CO 2 veya ton CO 2 (eşd) cinsinde bir üst tam sayıya yuvarlanarak raporlanır.</w:t>
      </w:r>
      <w:bookmarkEnd w:id="69"/>
    </w:p>
    <w:p>
      <w:pPr>
        <w:pStyle w:val="LegalList"/>
      </w:pPr>
      <w:r>
        <w:rPr>
          <w:rFonts w:ascii="Avenir Light" w:hAnsi="Avenir Light" w:eastAsia="Avenir Light" w:cs="Avenir Light"/>
          <w:b w:val="0"/>
          <w:i w:val="0"/>
          <w:color w:val="172126"/>
          <w:sz w:val="19"/>
        </w:rPr>
        <w:t>(2) Emisyonları hesaplamak için kullanılan bütün değişkenler emisyonların hesaplanması ve raporlanması amacı ile bütün önemli basamakları içerecek şekilde yuvarlanır.</w:t>
      </w:r>
    </w:p>
    <w:p>
      <w:pPr>
        <w:pStyle w:val="PartLabel"/>
      </w:pPr>
      <w:r>
        <w:rPr>
          <w:rFonts w:ascii="Avenir Light" w:hAnsi="Avenir Light" w:eastAsia="Avenir Light" w:cs="Avenir Light"/>
          <w:b w:val="0"/>
          <w:i w:val="0"/>
          <w:color w:val="0D5F31"/>
          <w:sz w:val="26"/>
        </w:rPr>
        <w:t>ONUNCU BÖLÜM</w:t>
      </w:r>
    </w:p>
    <w:p>
      <w:pPr>
        <w:pStyle w:val="PartTitle"/>
      </w:pPr>
      <w:r>
        <w:rPr>
          <w:rFonts w:ascii="Avenir Light" w:hAnsi="Avenir Light" w:eastAsia="Avenir Light" w:cs="Avenir Light"/>
          <w:b w:val="0"/>
          <w:i w:val="0"/>
          <w:color w:val="172126"/>
          <w:sz w:val="22"/>
        </w:rPr>
        <w:t>Çeşitli ve Son Hükümler</w:t>
      </w:r>
    </w:p>
    <w:p>
      <w:pPr>
        <w:pStyle w:val="ArticleTitle"/>
      </w:pPr>
      <w:r>
        <w:rPr>
          <w:rFonts w:ascii="Avenir Light" w:hAnsi="Avenir Light" w:eastAsia="Avenir Light" w:cs="Avenir Light"/>
          <w:b w:val="0"/>
          <w:i w:val="0"/>
          <w:color w:val="0D5F31"/>
          <w:sz w:val="21"/>
        </w:rPr>
        <w:t>Geçici hükümler</w:t>
      </w:r>
    </w:p>
    <w:p>
      <w:bookmarkStart w:id="70" w:name="gecici_madde_1"/>
      <w:pPr>
        <w:pStyle w:val="ArticleText"/>
      </w:pPr>
      <w:r>
        <w:rPr>
          <w:rFonts w:ascii="Avenir Light" w:hAnsi="Avenir Light" w:eastAsia="Avenir Light" w:cs="Avenir Light"/>
          <w:b w:val="0"/>
          <w:i w:val="0"/>
          <w:color w:val="172126"/>
          <w:sz w:val="19"/>
        </w:rPr>
        <w:t>GEÇİCİ MADDE 1 – (Değişik:RG-5/2/2021-31386)</w:t>
      </w:r>
      <w:bookmarkEnd w:id="70"/>
    </w:p>
    <w:p>
      <w:pPr>
        <w:pStyle w:val="LegalList"/>
      </w:pPr>
      <w:r>
        <w:rPr>
          <w:rFonts w:ascii="Avenir Light" w:hAnsi="Avenir Light" w:eastAsia="Avenir Light" w:cs="Avenir Light"/>
          <w:b w:val="0"/>
          <w:i w:val="0"/>
          <w:color w:val="172126"/>
          <w:sz w:val="19"/>
        </w:rPr>
        <w:t>(1) Değişiklik yapılan maddeler sebebiyle izleme planlarının güncellenmesi gereken işletmeler bu Tebliğ hükümlerine uygun olarak güncellenen ve 1/1/2022 tarihinden itibaren geçerli olacak izleme planlarını onaylanmak üzere en geç 31/10/2021 tarihine kadar Bakanlığa gönderir.</w:t>
      </w:r>
    </w:p>
    <w:p>
      <w:pPr>
        <w:pStyle w:val="ArticleTitle"/>
      </w:pPr>
      <w:r>
        <w:rPr>
          <w:rFonts w:ascii="Avenir Light" w:hAnsi="Avenir Light" w:eastAsia="Avenir Light" w:cs="Avenir Light"/>
          <w:b w:val="0"/>
          <w:i w:val="0"/>
          <w:color w:val="0D5F31"/>
          <w:sz w:val="21"/>
        </w:rPr>
        <w:t>Yürürlük</w:t>
      </w:r>
    </w:p>
    <w:p>
      <w:bookmarkStart w:id="71" w:name="madde_61"/>
      <w:pPr>
        <w:pStyle w:val="ArticleText"/>
      </w:pPr>
      <w:r>
        <w:rPr>
          <w:rFonts w:ascii="Avenir Light" w:hAnsi="Avenir Light" w:eastAsia="Avenir Light" w:cs="Avenir Light"/>
          <w:b w:val="0"/>
          <w:i w:val="0"/>
          <w:color w:val="172126"/>
          <w:sz w:val="19"/>
        </w:rPr>
        <w:t>MADDE 61 – (1) Bu Tebliğ yayımı tarihinde yürürlüğe girer.</w:t>
      </w:r>
      <w:bookmarkEnd w:id="71"/>
    </w:p>
    <w:p>
      <w:pPr>
        <w:pStyle w:val="ArticleTitle"/>
      </w:pPr>
      <w:r>
        <w:rPr>
          <w:rFonts w:ascii="Avenir Light" w:hAnsi="Avenir Light" w:eastAsia="Avenir Light" w:cs="Avenir Light"/>
          <w:b w:val="0"/>
          <w:i w:val="0"/>
          <w:color w:val="0D5F31"/>
          <w:sz w:val="21"/>
        </w:rPr>
        <w:t>Yürütme</w:t>
      </w:r>
    </w:p>
    <w:p>
      <w:bookmarkStart w:id="72" w:name="madde_62"/>
      <w:pPr>
        <w:pStyle w:val="ArticleText"/>
      </w:pPr>
      <w:r>
        <w:rPr>
          <w:rFonts w:ascii="Avenir Light" w:hAnsi="Avenir Light" w:eastAsia="Avenir Light" w:cs="Avenir Light"/>
          <w:b w:val="0"/>
          <w:i w:val="0"/>
          <w:color w:val="172126"/>
          <w:sz w:val="19"/>
        </w:rPr>
        <w:t>MADDE 62 – (1) Bu Tebliğ hükümlerini Çevre ve Şehircilik Bakanı yürütür.</w:t>
      </w:r>
      <w:bookmarkEnd w:id="72"/>
    </w:p>
    <w:tbl>
      <w:tblPr>
        <w:tblStyle w:val="TableGrid"/>
        <w:tblW w:type="dxa" w:w="9864"/>
        <w:jc w:val="left"/>
        <w:tblLayout w:type="fixed"/>
        <w:tblLook w:firstColumn="1" w:firstRow="1" w:lastColumn="0" w:lastRow="0" w:noHBand="0" w:noVBand="1" w:val="04A0"/>
        <w:tblInd w:w="120" w:type="dxa"/>
      </w:tblPr>
      <w:tblGrid>
        <w:gridCol w:w="1315"/>
        <w:gridCol w:w="7234"/>
        <w:gridCol w:w="1315"/>
      </w:tblGrid>
      <w:tr>
        <w:trPr>
          <w:tblHeader/>
          <w:cantSplit/>
        </w:trPr>
        <w:tc>
          <w:tcPr>
            <w:tcW w:type="dxa" w:w="1315"/>
            <w:vAlign w:val="center"/>
            <w:shd w:fill="0D5F31"/>
            <w:tcMar>
              <w:top w:w="80" w:type="dxa"/>
              <w:start w:w="120" w:type="dxa"/>
              <w:bottom w:w="80" w:type="dxa"/>
              <w:end w:w="120" w:type="dxa"/>
            </w:tcMar>
          </w:tcPr>
          <w:p>
            <w:pPr>
              <w:spacing w:before="0" w:after="0" w:line="245" w:lineRule="auto"/>
              <w:jc w:val="center"/>
            </w:pPr>
          </w:p>
        </w:tc>
        <w:tc>
          <w:tcPr>
            <w:tcW w:type="dxa" w:w="7234"/>
            <w:vAlign w:val="center"/>
            <w:shd w:fill="0D5F31"/>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FFFFFF"/>
                <w:sz w:val="16"/>
              </w:rPr>
              <w:t>Yönetmeliğin Yayımlandığı Resmî Gazete’nin</w:t>
            </w:r>
          </w:p>
        </w:tc>
        <w:tc>
          <w:tcPr>
            <w:tcW w:type="dxa" w:w="1315"/>
            <w:vAlign w:val="center"/>
            <w:shd w:fill="0D5F31"/>
            <w:tcMar>
              <w:top w:w="80" w:type="dxa"/>
              <w:start w:w="120" w:type="dxa"/>
              <w:bottom w:w="80" w:type="dxa"/>
              <w:end w:w="120" w:type="dxa"/>
            </w:tcMar>
          </w:tcPr>
          <w:p>
            <w:pPr>
              <w:spacing w:before="0" w:after="0" w:line="245" w:lineRule="auto"/>
              <w:jc w:val="center"/>
            </w:pPr>
          </w:p>
        </w:tc>
      </w:tr>
      <w:tr>
        <w:trPr>
          <w:cantSplit/>
        </w:trPr>
        <w:tc>
          <w:tcPr>
            <w:tcW w:type="dxa" w:w="1315"/>
            <w:vAlign w:val="center"/>
            <w:tcMar>
              <w:top w:w="80" w:type="dxa"/>
              <w:start w:w="120" w:type="dxa"/>
              <w:bottom w:w="80" w:type="dxa"/>
              <w:end w:w="120" w:type="dxa"/>
            </w:tcMar>
          </w:tcPr>
          <w:p>
            <w:pPr>
              <w:spacing w:before="0" w:after="0" w:line="245" w:lineRule="auto"/>
            </w:pPr>
          </w:p>
        </w:tc>
        <w:tc>
          <w:tcPr>
            <w:tcW w:type="dxa" w:w="7234"/>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Tarihi</w:t>
            </w:r>
          </w:p>
        </w:tc>
        <w:tc>
          <w:tcPr>
            <w:tcW w:type="dxa" w:w="1315"/>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Sayısı</w:t>
            </w:r>
          </w:p>
        </w:tc>
      </w:tr>
      <w:tr>
        <w:trPr>
          <w:cantSplit/>
        </w:trPr>
        <w:tc>
          <w:tcPr>
            <w:tcW w:type="dxa" w:w="1315"/>
            <w:vAlign w:val="center"/>
            <w:tcMar>
              <w:top w:w="80" w:type="dxa"/>
              <w:start w:w="120" w:type="dxa"/>
              <w:bottom w:w="80" w:type="dxa"/>
              <w:end w:w="120" w:type="dxa"/>
            </w:tcMar>
          </w:tcPr>
          <w:p>
            <w:pPr>
              <w:spacing w:before="0" w:after="0" w:line="245" w:lineRule="auto"/>
            </w:pPr>
          </w:p>
        </w:tc>
        <w:tc>
          <w:tcPr>
            <w:tcW w:type="dxa" w:w="7234"/>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22/7/2014</w:t>
            </w:r>
          </w:p>
        </w:tc>
        <w:tc>
          <w:tcPr>
            <w:tcW w:type="dxa" w:w="1315"/>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29068</w:t>
            </w:r>
          </w:p>
        </w:tc>
      </w:tr>
      <w:tr>
        <w:trPr>
          <w:cantSplit/>
        </w:trPr>
        <w:tc>
          <w:tcPr>
            <w:tcW w:type="dxa" w:w="1315"/>
            <w:vAlign w:val="center"/>
            <w:tcMar>
              <w:top w:w="80" w:type="dxa"/>
              <w:start w:w="120" w:type="dxa"/>
              <w:bottom w:w="80" w:type="dxa"/>
              <w:end w:w="120" w:type="dxa"/>
            </w:tcMar>
          </w:tcPr>
          <w:p>
            <w:pPr>
              <w:spacing w:before="0" w:after="0" w:line="245" w:lineRule="auto"/>
            </w:pPr>
          </w:p>
        </w:tc>
        <w:tc>
          <w:tcPr>
            <w:tcW w:type="dxa" w:w="7234"/>
            <w:vAlign w:val="center"/>
            <w:shd w:fill="ECF6EF"/>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0D5F31"/>
                <w:sz w:val="16"/>
              </w:rPr>
              <w:t>Yönetmelikte Değişiklik Yapan Yönetmeliklerin Yayımlandığı Resmî Gazetelerin</w:t>
            </w:r>
          </w:p>
        </w:tc>
        <w:tc>
          <w:tcPr>
            <w:tcW w:type="dxa" w:w="1315"/>
            <w:vAlign w:val="center"/>
            <w:tcMar>
              <w:top w:w="80" w:type="dxa"/>
              <w:start w:w="120" w:type="dxa"/>
              <w:bottom w:w="80" w:type="dxa"/>
              <w:end w:w="120" w:type="dxa"/>
            </w:tcMar>
          </w:tcPr>
          <w:p>
            <w:pPr>
              <w:spacing w:before="0" w:after="0" w:line="245" w:lineRule="auto"/>
            </w:pPr>
          </w:p>
        </w:tc>
      </w:tr>
      <w:tr>
        <w:trPr>
          <w:cantSplit/>
        </w:trPr>
        <w:tc>
          <w:tcPr>
            <w:tcW w:type="dxa" w:w="1315"/>
            <w:vAlign w:val="center"/>
            <w:tcMar>
              <w:top w:w="80" w:type="dxa"/>
              <w:start w:w="120" w:type="dxa"/>
              <w:bottom w:w="80" w:type="dxa"/>
              <w:end w:w="120" w:type="dxa"/>
            </w:tcMar>
          </w:tcPr>
          <w:p>
            <w:pPr>
              <w:spacing w:before="0" w:after="0" w:line="245" w:lineRule="auto"/>
            </w:pPr>
          </w:p>
        </w:tc>
        <w:tc>
          <w:tcPr>
            <w:tcW w:type="dxa" w:w="7234"/>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Tarihi</w:t>
            </w:r>
          </w:p>
        </w:tc>
        <w:tc>
          <w:tcPr>
            <w:tcW w:type="dxa" w:w="1315"/>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Sayısı</w:t>
            </w:r>
          </w:p>
        </w:tc>
      </w:tr>
      <w:tr>
        <w:trPr>
          <w:cantSplit/>
        </w:trPr>
        <w:tc>
          <w:tcPr>
            <w:tcW w:type="dxa" w:w="1315"/>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1.</w:t>
            </w:r>
          </w:p>
        </w:tc>
        <w:tc>
          <w:tcPr>
            <w:tcW w:type="dxa" w:w="7234"/>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5/2/2021</w:t>
            </w:r>
          </w:p>
        </w:tc>
        <w:tc>
          <w:tcPr>
            <w:tcW w:type="dxa" w:w="1315"/>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31386</w:t>
            </w:r>
          </w:p>
        </w:tc>
      </w:tr>
      <w:tr>
        <w:trPr>
          <w:cantSplit/>
        </w:trPr>
        <w:tc>
          <w:tcPr>
            <w:tcW w:type="dxa" w:w="1315"/>
            <w:vAlign w:val="center"/>
            <w:shd w:fill="ECF6EF"/>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0D5F31"/>
                <w:sz w:val="16"/>
              </w:rPr>
              <w:t>2.</w:t>
            </w:r>
          </w:p>
        </w:tc>
        <w:tc>
          <w:tcPr>
            <w:tcW w:type="dxa" w:w="7234"/>
            <w:vAlign w:val="center"/>
            <w:tcMar>
              <w:top w:w="80" w:type="dxa"/>
              <w:start w:w="120" w:type="dxa"/>
              <w:bottom w:w="80" w:type="dxa"/>
              <w:end w:w="120" w:type="dxa"/>
            </w:tcMar>
          </w:tcPr>
          <w:p>
            <w:pPr>
              <w:spacing w:before="0" w:after="0" w:line="245" w:lineRule="auto"/>
            </w:pPr>
          </w:p>
        </w:tc>
        <w:tc>
          <w:tcPr>
            <w:tcW w:type="dxa" w:w="1315"/>
            <w:vAlign w:val="center"/>
            <w:tcMar>
              <w:top w:w="80" w:type="dxa"/>
              <w:start w:w="120" w:type="dxa"/>
              <w:bottom w:w="80" w:type="dxa"/>
              <w:end w:w="120" w:type="dxa"/>
            </w:tcMar>
          </w:tcPr>
          <w:p>
            <w:pPr>
              <w:spacing w:before="0" w:after="0" w:line="245" w:lineRule="auto"/>
            </w:pPr>
          </w:p>
        </w:tc>
      </w:tr>
    </w:tbl>
    <w:p>
      <w:bookmarkStart w:id="73" w:name="ek_1"/>
      <w:pPr>
        <w:pStyle w:val="AnnexHeading"/>
      </w:pPr>
      <w:hyperlink w:anchor="ek_1" w:history="1">
        <w:r>
          <w:rPr>
            <w:rFonts w:ascii="Avenir Light" w:hAnsi="Avenir Light" w:eastAsia="Avenir Light" w:cs="Avenir Light"/>
            <w:color w:val="188A42"/>
            <w:sz w:val="28"/>
            <w:szCs w:val="28"/>
          </w:rPr>
          <w:t xml:space="preserve">EK-1</w:t>
        </w:r>
      </w:hyperlink>
      <w:bookmarkEnd w:id="73"/>
    </w:p>
    <w:p>
      <w:pPr>
        <w:pStyle w:val="AnnexTitle"/>
      </w:pPr>
      <w:r>
        <w:rPr>
          <w:rFonts w:ascii="Avenir Light" w:hAnsi="Avenir Light" w:eastAsia="Avenir Light" w:cs="Avenir Light"/>
          <w:b w:val="0"/>
          <w:i w:val="0"/>
          <w:color w:val="172126"/>
          <w:sz w:val="24"/>
        </w:rPr>
        <w:t>İZLEME PLANININ ASGARİ KAPSAMI</w:t>
      </w:r>
    </w:p>
    <w:p>
      <w:pPr>
        <w:pStyle w:val="ArticleText"/>
      </w:pPr>
      <w:r>
        <w:rPr>
          <w:rFonts w:ascii="Avenir Light" w:hAnsi="Avenir Light" w:eastAsia="Avenir Light" w:cs="Avenir Light"/>
          <w:b w:val="0"/>
          <w:i w:val="0"/>
          <w:color w:val="172126"/>
          <w:sz w:val="19"/>
        </w:rPr>
        <w:t>Bir tesise ilişkin izleme planı en az aşağıdaki bilgileri içerir:</w:t>
      </w:r>
    </w:p>
    <w:p>
      <w:pPr>
        <w:pStyle w:val="LegalList"/>
      </w:pPr>
      <w:r>
        <w:rPr>
          <w:rFonts w:ascii="Avenir Light" w:hAnsi="Avenir Light" w:eastAsia="Avenir Light" w:cs="Avenir Light"/>
          <w:b w:val="0"/>
          <w:i w:val="0"/>
          <w:color w:val="172126"/>
          <w:sz w:val="19"/>
        </w:rPr>
        <w:t>(1) Tesis hakkında genel bilgiler:</w:t>
      </w:r>
    </w:p>
    <w:p>
      <w:pPr>
        <w:pStyle w:val="LegalList"/>
      </w:pPr>
      <w:r>
        <w:rPr>
          <w:rFonts w:ascii="Avenir Light" w:hAnsi="Avenir Light" w:eastAsia="Avenir Light" w:cs="Avenir Light"/>
          <w:b w:val="0"/>
          <w:i w:val="0"/>
          <w:color w:val="172126"/>
          <w:sz w:val="19"/>
        </w:rPr>
        <w:t>(a) Tesiste yürütülen her bir faaliyete ilişkin izlenecek emisyon kaynaklarının ve kaynak akışlarının bir listesi ve aşağıdaki hususları içeren tesisin ve izlenecek faaliyetlerin tarifi:</w:t>
      </w:r>
    </w:p>
    <w:p>
      <w:pPr>
        <w:pStyle w:val="LegalList"/>
      </w:pPr>
      <w:r>
        <w:rPr>
          <w:rFonts w:ascii="Avenir Light" w:hAnsi="Avenir Light" w:eastAsia="Avenir Light" w:cs="Avenir Light"/>
          <w:b w:val="0"/>
          <w:i w:val="0"/>
          <w:color w:val="172126"/>
          <w:sz w:val="19"/>
        </w:rPr>
        <w:t>(i) Emisyonların sayımında verinin eksiksiz olduğunun ve emisyonların mükerrer sayılmadığının,</w:t>
      </w:r>
    </w:p>
    <w:p>
      <w:pPr>
        <w:pStyle w:val="LegalList"/>
      </w:pPr>
      <w:r>
        <w:rPr>
          <w:rFonts w:ascii="Avenir Light" w:hAnsi="Avenir Light" w:eastAsia="Avenir Light" w:cs="Avenir Light"/>
          <w:b w:val="0"/>
          <w:i w:val="0"/>
          <w:color w:val="172126"/>
          <w:sz w:val="19"/>
        </w:rPr>
        <w:t>(ii) Emisyon kaynakları, kaynak akışları, örnekleme noktaları ve ölçüm ekipmanlarını içeren basit bir akış şemasının temin edilmesi.</w:t>
      </w:r>
    </w:p>
    <w:p>
      <w:pPr>
        <w:pStyle w:val="LegalList"/>
      </w:pPr>
      <w:r>
        <w:rPr>
          <w:rFonts w:ascii="Avenir Light" w:hAnsi="Avenir Light" w:eastAsia="Avenir Light" w:cs="Avenir Light"/>
          <w:b w:val="0"/>
          <w:i w:val="0"/>
          <w:color w:val="172126"/>
          <w:sz w:val="19"/>
        </w:rPr>
        <w:t>(b) Tesiste izleme ve raporlamaya ilişkin sorumlulukların belirlenmesi ve sorumlu personelin yetkinliğini yönetmeye yönelik prosedürlerin tarifi,</w:t>
      </w:r>
    </w:p>
    <w:p>
      <w:pPr>
        <w:pStyle w:val="LegalList"/>
      </w:pPr>
      <w:r>
        <w:rPr>
          <w:rFonts w:ascii="Avenir Light" w:hAnsi="Avenir Light" w:eastAsia="Avenir Light" w:cs="Avenir Light"/>
          <w:b w:val="0"/>
          <w:i w:val="0"/>
          <w:color w:val="172126"/>
          <w:sz w:val="19"/>
        </w:rPr>
        <w:t>(c) İzleme planının uygunluğunun düzenli bir şekilde değerlendirilmesi için asgari seviyede;</w:t>
      </w:r>
    </w:p>
    <w:p>
      <w:pPr>
        <w:pStyle w:val="LegalList"/>
      </w:pPr>
      <w:r>
        <w:rPr>
          <w:rFonts w:ascii="Avenir Light" w:hAnsi="Avenir Light" w:eastAsia="Avenir Light" w:cs="Avenir Light"/>
          <w:b w:val="0"/>
          <w:i w:val="0"/>
          <w:color w:val="172126"/>
          <w:sz w:val="19"/>
        </w:rPr>
        <w:t>(i) Emisyon kaynaklarının ve kaynak akışlarının listesini kontrol etmek ve emisyon kaynaklarının ve kaynak akışlarının eksiksiz olduğunu ve tesisin yapısındaki ve işleyişindeki değişikliklerin izleme planına dahil edildiğinin temin edilmesi,</w:t>
      </w:r>
    </w:p>
    <w:p>
      <w:pPr>
        <w:pStyle w:val="LegalList"/>
      </w:pPr>
      <w:r>
        <w:rPr>
          <w:rFonts w:ascii="Avenir Light" w:hAnsi="Avenir Light" w:eastAsia="Avenir Light" w:cs="Avenir Light"/>
          <w:b w:val="0"/>
          <w:i w:val="0"/>
          <w:color w:val="172126"/>
          <w:sz w:val="19"/>
        </w:rPr>
        <w:t>(ii) Faaliyet verisi ve diğer parametreler için belirsizlik eşiklerin uygunluğunun değerlendirmesinin yanı sıra, her bir kaynak akışına ve emisyon kaynağına uygulanan kademeler için belirsizlik eşiklerin uygunluğunun değerlendirilmesi, (iii) Uygulanan izleme yönteminin geliştirilmesi için potansiyel önlemleri değerlendirmek, amacıyla ilgili prosedürlerin tarif edilmesi.</w:t>
      </w:r>
    </w:p>
    <w:p>
      <w:pPr>
        <w:pStyle w:val="LegalList"/>
      </w:pPr>
      <w:r>
        <w:rPr>
          <w:rFonts w:ascii="Avenir Light" w:hAnsi="Avenir Light" w:eastAsia="Avenir Light" w:cs="Avenir Light"/>
          <w:b w:val="0"/>
          <w:i w:val="0"/>
          <w:color w:val="172126"/>
          <w:sz w:val="19"/>
        </w:rPr>
        <w:t xml:space="preserve">(ç) </w:t>
      </w:r>
      <w:hyperlink w:anchor="madde_48" w:history="1">
        <w:r>
          <w:rPr>
            <w:rFonts w:ascii="Avenir Light" w:hAnsi="Avenir Light" w:eastAsia="Avenir Light" w:cs="Avenir Light"/>
            <w:color w:val="188A42"/>
            <w:sz w:val="19"/>
            <w:szCs w:val="19"/>
          </w:rPr>
          <w:t xml:space="preserve">48 inci madde</w:t>
        </w:r>
      </w:hyperlink>
      <w:r>
        <w:rPr>
          <w:rFonts w:ascii="Avenir Light" w:hAnsi="Avenir Light" w:eastAsia="Avenir Light" w:cs="Avenir Light"/>
          <w:b w:val="0"/>
          <w:i w:val="0"/>
          <w:color w:val="172126"/>
          <w:sz w:val="19"/>
        </w:rPr>
        <w:t>ye uygun olarak veri akış faaliyetlerine ilişkin yazılı prosedürlerin tarifi ve basitleştirilmiş şemalar,</w:t>
      </w:r>
    </w:p>
    <w:p>
      <w:pPr>
        <w:pStyle w:val="LegalList"/>
      </w:pPr>
      <w:r>
        <w:rPr>
          <w:rFonts w:ascii="Avenir Light" w:hAnsi="Avenir Light" w:eastAsia="Avenir Light" w:cs="Avenir Light"/>
          <w:b w:val="0"/>
          <w:i w:val="0"/>
          <w:color w:val="172126"/>
          <w:sz w:val="19"/>
        </w:rPr>
        <w:t xml:space="preserve">(d) </w:t>
      </w:r>
      <w:hyperlink w:anchor="madde_49" w:history="1">
        <w:r>
          <w:rPr>
            <w:rFonts w:ascii="Avenir Light" w:hAnsi="Avenir Light" w:eastAsia="Avenir Light" w:cs="Avenir Light"/>
            <w:color w:val="188A42"/>
            <w:sz w:val="19"/>
            <w:szCs w:val="19"/>
          </w:rPr>
          <w:t xml:space="preserve">49 uncu madde</w:t>
        </w:r>
      </w:hyperlink>
      <w:r>
        <w:rPr>
          <w:rFonts w:ascii="Avenir Light" w:hAnsi="Avenir Light" w:eastAsia="Avenir Light" w:cs="Avenir Light"/>
          <w:b w:val="0"/>
          <w:i w:val="0"/>
          <w:color w:val="172126"/>
          <w:sz w:val="19"/>
        </w:rPr>
        <w:t>ye uygun olarak oluşturulan kontrol faaliyetleri için yazılı prosedürlerin tarifi,</w:t>
      </w:r>
    </w:p>
    <w:p>
      <w:pPr>
        <w:pStyle w:val="LegalList"/>
      </w:pPr>
      <w:r>
        <w:rPr>
          <w:rFonts w:ascii="Avenir Light" w:hAnsi="Avenir Light" w:eastAsia="Avenir Light" w:cs="Avenir Light"/>
          <w:b w:val="0"/>
          <w:i w:val="0"/>
          <w:color w:val="172126"/>
          <w:sz w:val="19"/>
        </w:rPr>
        <w:t>(e) Varsa, eko yönetim ve tetkik sistemi (EMAS), TS EN ISO 14001 Standardı veya diğer çevre yönetim sistemleri çerçevesinde yürütülen faaliyetler ile sera gazı emisyonlarının izlenmesi ve raporlanması konusunda yürütülen faaliyetler arasında bağlantılı olabilecek prosedür ve kontrollere ilişkin bilgiler,</w:t>
      </w:r>
    </w:p>
    <w:p>
      <w:pPr>
        <w:pStyle w:val="LegalList"/>
      </w:pPr>
      <w:r>
        <w:rPr>
          <w:rFonts w:ascii="Avenir Light" w:hAnsi="Avenir Light" w:eastAsia="Avenir Light" w:cs="Avenir Light"/>
          <w:b w:val="0"/>
          <w:i w:val="0"/>
          <w:color w:val="172126"/>
          <w:sz w:val="19"/>
        </w:rPr>
        <w:t>(f) İzleme planının revizyon numarası.</w:t>
      </w:r>
    </w:p>
    <w:p>
      <w:pPr>
        <w:pStyle w:val="LegalList"/>
      </w:pPr>
      <w:r>
        <w:rPr>
          <w:rFonts w:ascii="Avenir Light" w:hAnsi="Avenir Light" w:eastAsia="Avenir Light" w:cs="Avenir Light"/>
          <w:b w:val="0"/>
          <w:i w:val="0"/>
          <w:color w:val="172126"/>
          <w:sz w:val="19"/>
        </w:rPr>
        <w:t>(2) Uygulanan hesaplama temelli yöntemlerin detaylarına ilişkin en az aşağıda listelenen bilgiler:</w:t>
      </w:r>
    </w:p>
    <w:p>
      <w:pPr>
        <w:pStyle w:val="LegalList"/>
      </w:pPr>
      <w:r>
        <w:rPr>
          <w:rFonts w:ascii="Avenir Light" w:hAnsi="Avenir Light" w:eastAsia="Avenir Light" w:cs="Avenir Light"/>
          <w:b w:val="0"/>
          <w:i w:val="0"/>
          <w:color w:val="172126"/>
          <w:sz w:val="19"/>
        </w:rPr>
        <w:t>(a) Uygulanmış hesaplama temelli yöntemin, kullanılan giriş verisi ve hesaplama formüllerinin listesi, hesaplama faktörleri için uygulanan kademelerin listesi ve izlenecek her bir kaynak akışına ilişkin hesaplama faktörlerini de içeren detaylı tarifi,</w:t>
      </w:r>
    </w:p>
    <w:p>
      <w:pPr>
        <w:pStyle w:val="LegalList"/>
      </w:pPr>
      <w:r>
        <w:rPr>
          <w:rFonts w:ascii="Avenir Light" w:hAnsi="Avenir Light" w:eastAsia="Avenir Light" w:cs="Avenir Light"/>
          <w:b w:val="0"/>
          <w:i w:val="0"/>
          <w:color w:val="172126"/>
          <w:sz w:val="19"/>
        </w:rPr>
        <w:t>(b) İşletmenin, kaynak akışlarının basitleştirilmesinden yararlanmayı amaçladığı durumlar olsa bile akışların büyük, küçük ve önemsiz kaynak akışları olarak sınıflandırılması,</w:t>
      </w:r>
    </w:p>
    <w:p>
      <w:pPr>
        <w:pStyle w:val="LegalList"/>
      </w:pPr>
      <w:r>
        <w:rPr>
          <w:rFonts w:ascii="Avenir Light" w:hAnsi="Avenir Light" w:eastAsia="Avenir Light" w:cs="Avenir Light"/>
          <w:b w:val="0"/>
          <w:i w:val="0"/>
          <w:color w:val="172126"/>
          <w:sz w:val="19"/>
        </w:rPr>
        <w:t>(c) Kullanılan ölçüm sistemlerinin bir tanımı ve ölçüm aralığı, izlenecek kaynak akışlarının her biri için kullanılan ölçüm cihazlarının tam konumu ve belirsizlik değeri,</w:t>
      </w:r>
    </w:p>
    <w:p>
      <w:pPr>
        <w:pStyle w:val="LegalList"/>
      </w:pPr>
      <w:r>
        <w:rPr>
          <w:rFonts w:ascii="Avenir Light" w:hAnsi="Avenir Light" w:eastAsia="Avenir Light" w:cs="Avenir Light"/>
          <w:b w:val="0"/>
          <w:i w:val="0"/>
          <w:color w:val="172126"/>
          <w:sz w:val="19"/>
        </w:rPr>
        <w:t>(ç) Her bir kaynak akışı için, varsayılan hesaplama faktörleri ile kaynağı,</w:t>
      </w:r>
    </w:p>
    <w:p>
      <w:pPr>
        <w:pStyle w:val="LegalList"/>
      </w:pPr>
      <w:r>
        <w:rPr>
          <w:rFonts w:ascii="Avenir Light" w:hAnsi="Avenir Light" w:eastAsia="Avenir Light" w:cs="Avenir Light"/>
          <w:b w:val="0"/>
          <w:i w:val="0"/>
          <w:color w:val="172126"/>
          <w:sz w:val="19"/>
        </w:rPr>
        <w:t>(d) Her bir kaynak akışına ilişkin ilgili tüm hesaplama faktörlerinin belirlenmesi için kullanılacak analiz yöntemlerinin bir listesi ile bu analizler için yazılı prosedürlerin tarifi,</w:t>
      </w:r>
    </w:p>
    <w:p>
      <w:pPr>
        <w:pStyle w:val="LegalList"/>
      </w:pPr>
      <w:r>
        <w:rPr>
          <w:rFonts w:ascii="Avenir Light" w:hAnsi="Avenir Light" w:eastAsia="Avenir Light" w:cs="Avenir Light"/>
          <w:b w:val="0"/>
          <w:i w:val="0"/>
          <w:color w:val="172126"/>
          <w:sz w:val="19"/>
        </w:rPr>
        <w:t>(e) Analiz edilecek yakıt ve malzemelerin örneklenmesi için örnekleme planını destekleyecek prosedürün ve örnekleme planının uygunluğunu revize etmek için kullanılan prosedürün tarifi,</w:t>
      </w:r>
    </w:p>
    <w:p>
      <w:pPr>
        <w:pStyle w:val="LegalList"/>
      </w:pPr>
      <w:r>
        <w:rPr>
          <w:rFonts w:ascii="Avenir Light" w:hAnsi="Avenir Light" w:eastAsia="Avenir Light" w:cs="Avenir Light"/>
          <w:b w:val="0"/>
          <w:i w:val="0"/>
          <w:color w:val="172126"/>
          <w:sz w:val="19"/>
        </w:rPr>
        <w:t>(f) İlgili analitik prosedürleri yürüten laboratuvarların listesi.</w:t>
      </w:r>
    </w:p>
    <w:p>
      <w:pPr>
        <w:pStyle w:val="LegalList"/>
      </w:pPr>
      <w:r>
        <w:rPr>
          <w:rFonts w:ascii="Avenir Light" w:hAnsi="Avenir Light" w:eastAsia="Avenir Light" w:cs="Avenir Light"/>
          <w:b w:val="0"/>
          <w:i w:val="0"/>
          <w:color w:val="172126"/>
          <w:sz w:val="19"/>
        </w:rPr>
        <w:t xml:space="preserve">(3) </w:t>
      </w:r>
      <w:hyperlink w:anchor="madde_20" w:history="1">
        <w:r>
          <w:rPr>
            <w:rFonts w:ascii="Avenir Light" w:hAnsi="Avenir Light" w:eastAsia="Avenir Light" w:cs="Avenir Light"/>
            <w:color w:val="188A42"/>
            <w:sz w:val="19"/>
            <w:szCs w:val="19"/>
          </w:rPr>
          <w:t xml:space="preserve">20 nci madde</w:t>
        </w:r>
      </w:hyperlink>
      <w:r>
        <w:rPr>
          <w:rFonts w:ascii="Avenir Light" w:hAnsi="Avenir Light" w:eastAsia="Avenir Light" w:cs="Avenir Light"/>
          <w:b w:val="0"/>
          <w:i w:val="0"/>
          <w:color w:val="172126"/>
          <w:sz w:val="19"/>
        </w:rPr>
        <w:t xml:space="preserve"> uyarınca asgari yöntem kullanıldığında, bütün kaynak akışları veya emisyon kaynakları için uygulanan izleme yönteminin detaylı tarifi ve yürütülecek belirsizlik analizi için kullanılan yazılı prosedürün tarifi.</w:t>
      </w:r>
    </w:p>
    <w:p>
      <w:pPr>
        <w:pStyle w:val="LegalList"/>
      </w:pPr>
      <w:r>
        <w:rPr>
          <w:rFonts w:ascii="Avenir Light" w:hAnsi="Avenir Light" w:eastAsia="Avenir Light" w:cs="Avenir Light"/>
          <w:b w:val="0"/>
          <w:i w:val="0"/>
          <w:color w:val="172126"/>
          <w:sz w:val="19"/>
        </w:rPr>
        <w:t>(4) Uygulanan ölçüm temelli yöntemlerin detaylarına istinaden varsa asgari düzeyde aşağıda listelenen bilgiler:</w:t>
      </w:r>
    </w:p>
    <w:p>
      <w:pPr>
        <w:pStyle w:val="LegalList"/>
      </w:pPr>
      <w:r>
        <w:rPr>
          <w:rFonts w:ascii="Avenir Light" w:hAnsi="Avenir Light" w:eastAsia="Avenir Light" w:cs="Avenir Light"/>
          <w:b w:val="0"/>
          <w:i w:val="0"/>
          <w:color w:val="172126"/>
          <w:sz w:val="19"/>
        </w:rPr>
        <w:t>(a) Ölçüm ve aşağıdaki hususlar ile ilgili yazılı prosedürlerin tarifini içeren ölçüm yönteminin tarifi:</w:t>
      </w:r>
    </w:p>
    <w:p>
      <w:pPr>
        <w:pStyle w:val="LegalList"/>
      </w:pPr>
      <w:r>
        <w:rPr>
          <w:rFonts w:ascii="Avenir Light" w:hAnsi="Avenir Light" w:eastAsia="Avenir Light" w:cs="Avenir Light"/>
          <w:b w:val="0"/>
          <w:i w:val="0"/>
          <w:color w:val="172126"/>
          <w:sz w:val="19"/>
        </w:rPr>
        <w:t>(i) Veri toplamak ve her bir emisyon kaynağının yıllık emisyonunu belirlemek için kullanılan hesaplama formülleri,</w:t>
      </w:r>
    </w:p>
    <w:p>
      <w:pPr>
        <w:pStyle w:val="LegalList"/>
      </w:pPr>
      <w:r>
        <w:rPr>
          <w:rFonts w:ascii="Avenir Light" w:hAnsi="Avenir Light" w:eastAsia="Avenir Light" w:cs="Avenir Light"/>
          <w:b w:val="0"/>
          <w:i w:val="0"/>
          <w:color w:val="172126"/>
          <w:sz w:val="19"/>
        </w:rPr>
        <w:t xml:space="preserve">(ii) Her bir parametre için geçerli saatlerin veya daha kısa referans dönemlerinin hesaplanmasını belirlemek için ve </w:t>
      </w:r>
      <w:hyperlink w:anchor="madde_43" w:history="1">
        <w:r>
          <w:rPr>
            <w:rFonts w:ascii="Avenir Light" w:hAnsi="Avenir Light" w:eastAsia="Avenir Light" w:cs="Avenir Light"/>
            <w:color w:val="188A42"/>
            <w:sz w:val="19"/>
            <w:szCs w:val="19"/>
          </w:rPr>
          <w:t xml:space="preserve">43 üncü madde</w:t>
        </w:r>
      </w:hyperlink>
      <w:r>
        <w:rPr>
          <w:rFonts w:ascii="Avenir Light" w:hAnsi="Avenir Light" w:eastAsia="Avenir Light" w:cs="Avenir Light"/>
          <w:b w:val="0"/>
          <w:i w:val="0"/>
          <w:color w:val="172126"/>
          <w:sz w:val="19"/>
        </w:rPr>
        <w:t xml:space="preserve"> uyarınca kayıp verinin tamamlanması için yöntem,</w:t>
      </w:r>
    </w:p>
    <w:p>
      <w:pPr>
        <w:pStyle w:val="LegalList"/>
      </w:pPr>
      <w:r>
        <w:rPr>
          <w:rFonts w:ascii="Avenir Light" w:hAnsi="Avenir Light" w:eastAsia="Avenir Light" w:cs="Avenir Light"/>
          <w:b w:val="0"/>
          <w:i w:val="0"/>
          <w:color w:val="172126"/>
          <w:sz w:val="19"/>
        </w:rPr>
        <w:t>(b) Bakanlık tarafından talep edildiğinde, proses diyagramı ile desteklenecek şekilde, arıza dönemlerini veya işletime alma dönemlerini de kapsayan, normal, kesintili veya geçiş aşamalarında gerçekleşen bütün emisyon noktalarının listesi,</w:t>
      </w:r>
    </w:p>
    <w:p>
      <w:pPr>
        <w:pStyle w:val="LegalList"/>
      </w:pPr>
      <w:r>
        <w:rPr>
          <w:rFonts w:ascii="Avenir Light" w:hAnsi="Avenir Light" w:eastAsia="Avenir Light" w:cs="Avenir Light"/>
          <w:b w:val="0"/>
          <w:i w:val="0"/>
          <w:color w:val="172126"/>
          <w:sz w:val="19"/>
        </w:rPr>
        <w:t>(c) Baca gazı debisinin hesaplama ile elde edildiği hallerde, ölçüm temelli yöntem kullanılarak izlenen her bir emisyon kaynağına yönelik bu hesaplama için yazılı prosedürün tarifi,</w:t>
      </w:r>
    </w:p>
    <w:p>
      <w:pPr>
        <w:pStyle w:val="LegalList"/>
      </w:pPr>
      <w:r>
        <w:rPr>
          <w:rFonts w:ascii="Avenir Light" w:hAnsi="Avenir Light" w:eastAsia="Avenir Light" w:cs="Avenir Light"/>
          <w:b w:val="0"/>
          <w:i w:val="0"/>
          <w:color w:val="172126"/>
          <w:sz w:val="19"/>
        </w:rPr>
        <w:t>(ç) Ölçüm frekansı, işletim aralığı ve belirsizlik bilgilerini içerecek şekilde ilgili bütün ekipmanın listesi,</w:t>
      </w:r>
    </w:p>
    <w:p>
      <w:pPr>
        <w:pStyle w:val="LegalList"/>
      </w:pPr>
      <w:r>
        <w:rPr>
          <w:rFonts w:ascii="Avenir Light" w:hAnsi="Avenir Light" w:eastAsia="Avenir Light" w:cs="Avenir Light"/>
          <w:b w:val="0"/>
          <w:i w:val="0"/>
          <w:color w:val="172126"/>
          <w:sz w:val="19"/>
        </w:rPr>
        <w:t>(d) Uygulanmış standartların ve bu standartlardan sapmaların listesi,</w:t>
      </w:r>
    </w:p>
    <w:p>
      <w:pPr>
        <w:pStyle w:val="LegalList"/>
      </w:pPr>
      <w:r>
        <w:rPr>
          <w:rFonts w:ascii="Avenir Light" w:hAnsi="Avenir Light" w:eastAsia="Avenir Light" w:cs="Avenir Light"/>
          <w:b w:val="0"/>
          <w:i w:val="0"/>
          <w:color w:val="172126"/>
          <w:sz w:val="19"/>
        </w:rPr>
        <w:t xml:space="preserve">(e) </w:t>
      </w:r>
      <w:hyperlink w:anchor="madde_44" w:history="1">
        <w:r>
          <w:rPr>
            <w:rFonts w:ascii="Avenir Light" w:hAnsi="Avenir Light" w:eastAsia="Avenir Light" w:cs="Avenir Light"/>
            <w:color w:val="188A42"/>
            <w:sz w:val="19"/>
            <w:szCs w:val="19"/>
          </w:rPr>
          <w:t xml:space="preserve">44 üncü madde</w:t>
        </w:r>
      </w:hyperlink>
      <w:r>
        <w:rPr>
          <w:rFonts w:ascii="Avenir Light" w:hAnsi="Avenir Light" w:eastAsia="Avenir Light" w:cs="Avenir Light"/>
          <w:b w:val="0"/>
          <w:i w:val="0"/>
          <w:color w:val="172126"/>
          <w:sz w:val="19"/>
        </w:rPr>
        <w:t xml:space="preserve"> uyarınca yürütülen teyit hesapları için yazılı prosedürün tarifi,</w:t>
      </w:r>
    </w:p>
    <w:p>
      <w:pPr>
        <w:pStyle w:val="LegalList"/>
      </w:pPr>
      <w:r>
        <w:rPr>
          <w:rFonts w:ascii="Avenir Light" w:hAnsi="Avenir Light" w:eastAsia="Avenir Light" w:cs="Avenir Light"/>
          <w:b w:val="0"/>
          <w:i w:val="0"/>
          <w:color w:val="172126"/>
          <w:sz w:val="19"/>
        </w:rPr>
        <w:t>(f) Biyokütleden gelen CO 2 ’nin nasıl belirleneceğine ve biyokütleden gelen CO 2 ’nin ölçülmüş CO 2 emisyon miktarından nasıl çıkartılacağına ilişkin yöntemin tarifi ve bu amaç için kullanılan yazılı prosedürün tarifi.</w:t>
      </w:r>
    </w:p>
    <w:p>
      <w:pPr>
        <w:pStyle w:val="LegalList"/>
      </w:pPr>
      <w:r>
        <w:rPr>
          <w:rFonts w:ascii="Avenir Light" w:hAnsi="Avenir Light" w:eastAsia="Avenir Light" w:cs="Avenir Light"/>
          <w:b w:val="0"/>
          <w:i w:val="0"/>
          <w:color w:val="172126"/>
          <w:sz w:val="19"/>
        </w:rPr>
        <w:t xml:space="preserve">(5) N 2 O emisyonlarının izlendiği durumlarda, bu Ekin </w:t>
      </w:r>
      <w:hyperlink w:anchor="madde_4" w:history="1">
        <w:r>
          <w:rPr>
            <w:rFonts w:ascii="Avenir Light" w:hAnsi="Avenir Light" w:eastAsia="Avenir Light" w:cs="Avenir Light"/>
            <w:color w:val="188A42"/>
            <w:sz w:val="19"/>
            <w:szCs w:val="19"/>
          </w:rPr>
          <w:t xml:space="preserve">4 üncü madde</w:t>
        </w:r>
      </w:hyperlink>
      <w:r>
        <w:rPr>
          <w:rFonts w:ascii="Avenir Light" w:hAnsi="Avenir Light" w:eastAsia="Avenir Light" w:cs="Avenir Light"/>
          <w:b w:val="0"/>
          <w:i w:val="0"/>
          <w:color w:val="172126"/>
          <w:sz w:val="19"/>
        </w:rPr>
        <w:t>sinde listelenen unsurlara ilave olarak, aşağıda yer alan hususları da içerecek şekilde, uygulanan izleme yönteminin ve varsa yazılı prosedürün detaylı tarifi:</w:t>
      </w:r>
    </w:p>
    <w:p>
      <w:pPr>
        <w:pStyle w:val="LegalList"/>
      </w:pPr>
      <w:r>
        <w:rPr>
          <w:rFonts w:ascii="Avenir Light" w:hAnsi="Avenir Light" w:eastAsia="Avenir Light" w:cs="Avenir Light"/>
          <w:b w:val="0"/>
          <w:i w:val="0"/>
          <w:color w:val="172126"/>
          <w:sz w:val="19"/>
        </w:rPr>
        <w:t>(a) Üretim prosesinde kullanılan malzeme miktarını ve tam kapasitede kullanılan azami malzeme miktarını belirlemek için kullanılan yöntem ve parametreler,</w:t>
      </w:r>
    </w:p>
    <w:p>
      <w:pPr>
        <w:pStyle w:val="LegalList"/>
      </w:pPr>
      <w:r>
        <w:rPr>
          <w:rFonts w:ascii="Avenir Light" w:hAnsi="Avenir Light" w:eastAsia="Avenir Light" w:cs="Avenir Light"/>
          <w:b w:val="0"/>
          <w:i w:val="0"/>
          <w:color w:val="172126"/>
          <w:sz w:val="19"/>
        </w:rPr>
        <w:t>(b) Sırasıyla saat başına nitrik asit (%100), adipik asit (%100), kaprolaktam, glioksal ve glioksilik asit olarak ifade edilen ve saatlik çıktı olarak üretilen ürünün miktarını belirlemek için kullanılan yöntem ve parametreler,</w:t>
      </w:r>
    </w:p>
    <w:p>
      <w:pPr>
        <w:pStyle w:val="LegalList"/>
      </w:pPr>
      <w:r>
        <w:rPr>
          <w:rFonts w:ascii="Avenir Light" w:hAnsi="Avenir Light" w:eastAsia="Avenir Light" w:cs="Avenir Light"/>
          <w:b w:val="0"/>
          <w:i w:val="0"/>
          <w:color w:val="172126"/>
          <w:sz w:val="19"/>
        </w:rPr>
        <w:t>(c) Her bir emisyon kaynağı için baca gazında bulunan N 2 O konsantrasyonunu, işletme aralığını ve belirsizliğini belirlemek için kullanılan yönteme ve parametrelere ilave olarak konsantrasyonların işletme aralığının dışında kaldığı durumlarda ve bu durumların oluşabileceği hallerde uygulanacak alternatif yöntemin detayları,</w:t>
      </w:r>
    </w:p>
    <w:p>
      <w:pPr>
        <w:pStyle w:val="LegalList"/>
      </w:pPr>
      <w:r>
        <w:rPr>
          <w:rFonts w:ascii="Avenir Light" w:hAnsi="Avenir Light" w:eastAsia="Avenir Light" w:cs="Avenir Light"/>
          <w:b w:val="0"/>
          <w:i w:val="0"/>
          <w:color w:val="172126"/>
          <w:sz w:val="19"/>
        </w:rPr>
        <w:t>(ç) Nitrik asit, adipik asit, kaprolaktam, glioksal ve glioksilik asit üretimindeki periyodik ve sürekli kaynaklardan gelen N 2 O emisyonlarını belirlemek için kullanılan hesaplama yöntemi,</w:t>
      </w:r>
    </w:p>
    <w:p>
      <w:pPr>
        <w:pStyle w:val="LegalList"/>
      </w:pPr>
      <w:r>
        <w:rPr>
          <w:rFonts w:ascii="Avenir Light" w:hAnsi="Avenir Light" w:eastAsia="Avenir Light" w:cs="Avenir Light"/>
          <w:b w:val="0"/>
          <w:i w:val="0"/>
          <w:color w:val="172126"/>
          <w:sz w:val="19"/>
        </w:rPr>
        <w:t>(d) Tesisin değişken yüklerle çalışma şekli ve kapasitesi, tesiste işletme yönetiminin nasıl yürütüldüğü,</w:t>
      </w:r>
    </w:p>
    <w:p>
      <w:pPr>
        <w:pStyle w:val="LegalList"/>
      </w:pPr>
      <w:r>
        <w:rPr>
          <w:rFonts w:ascii="Avenir Light" w:hAnsi="Avenir Light" w:eastAsia="Avenir Light" w:cs="Avenir Light"/>
          <w:b w:val="0"/>
          <w:i w:val="0"/>
          <w:color w:val="172126"/>
          <w:sz w:val="19"/>
        </w:rPr>
        <w:t>(e) Her bir emisyon kaynağına ilişkin yıllık N 2 O emisyonlarını ve bu emisyonlara karşılık gelen CO 2(eşd) değerlerini belirlemek için kullanılan yöntem ve hesaplama formülleri,</w:t>
      </w:r>
    </w:p>
    <w:p>
      <w:pPr>
        <w:pStyle w:val="LegalList"/>
      </w:pPr>
      <w:r>
        <w:rPr>
          <w:rFonts w:ascii="Avenir Light" w:hAnsi="Avenir Light" w:eastAsia="Avenir Light" w:cs="Avenir Light"/>
          <w:b w:val="0"/>
          <w:i w:val="0"/>
          <w:color w:val="172126"/>
          <w:sz w:val="19"/>
        </w:rPr>
        <w:t>(f) Normal işlemlerden sapan proses koşulları hakkında bilgi, bu sapmaların potansiyel sıklık ve süresi, baca gazı arıtma ekipmanı arızası gibi proses koşullarının sapması sonucunda ortaya çıkan N 2 O emisyonlarının hacmi.</w:t>
      </w:r>
    </w:p>
    <w:p>
      <w:pPr>
        <w:pStyle w:val="LegalList"/>
      </w:pPr>
      <w:r>
        <w:rPr>
          <w:rFonts w:ascii="Avenir Light" w:hAnsi="Avenir Light" w:eastAsia="Avenir Light" w:cs="Avenir Light"/>
          <w:b w:val="0"/>
          <w:i w:val="0"/>
          <w:color w:val="172126"/>
          <w:sz w:val="19"/>
        </w:rPr>
        <w:t>(6) Birincil alüminyum üretiminden kaynaklanan perflorokarbonların izlendiği durumlarda, uygun olan hallerde aşağıda yer alan hususları da içerecek şekilde, uygulanan izleme yönteminin ve varsa yazılı prosedürün detaylı tarifi:</w:t>
      </w:r>
    </w:p>
    <w:p>
      <w:pPr>
        <w:pStyle w:val="LegalList"/>
      </w:pPr>
      <w:r>
        <w:rPr>
          <w:rFonts w:ascii="Avenir Light" w:hAnsi="Avenir Light" w:eastAsia="Avenir Light" w:cs="Avenir Light"/>
          <w:b w:val="0"/>
          <w:i w:val="0"/>
          <w:color w:val="172126"/>
          <w:sz w:val="19"/>
        </w:rPr>
        <w:t>(a) Tesise özgü emisyon faktörlerinin (Eğim Emisyon Faktörü-EEF CF4 , veya Aşırı Gerilim Katsayısı-AGK ve C 2 F 6 Ağırlık Oranı-F C2F6 ) belirlenmesine yönelik ölçümlerin tarihleri ve bu belirlemenin gelecekteki tekrarları için zaman çizelgesi,</w:t>
      </w:r>
    </w:p>
    <w:p>
      <w:pPr>
        <w:pStyle w:val="LegalList"/>
      </w:pPr>
      <w:r>
        <w:rPr>
          <w:rFonts w:ascii="Avenir Light" w:hAnsi="Avenir Light" w:eastAsia="Avenir Light" w:cs="Avenir Light"/>
          <w:b w:val="0"/>
          <w:i w:val="0"/>
          <w:color w:val="172126"/>
          <w:sz w:val="19"/>
        </w:rPr>
        <w:t>(b) En az 72 saat olacak şekilde, ölçülmüş ve ölçülecek değerlerin birbirine yakınlaştığını gösterecek şekilde ölçümlerin yeterince uzun bir zamanda gerçekleştiğini gösteren, CF 4 ve C 2 F 6 için tesise özgü emisyon faktörlerinin belirlenmesine yönelik kullanılan prosedürü tarif eden protokol,</w:t>
      </w:r>
    </w:p>
    <w:p>
      <w:pPr>
        <w:pStyle w:val="LegalList"/>
      </w:pPr>
      <w:r>
        <w:rPr>
          <w:rFonts w:ascii="Avenir Light" w:hAnsi="Avenir Light" w:eastAsia="Avenir Light" w:cs="Avenir Light"/>
          <w:b w:val="0"/>
          <w:i w:val="0"/>
          <w:color w:val="172126"/>
          <w:sz w:val="19"/>
        </w:rPr>
        <w:t>(c) Birincil alüminyum üretimi tesislerinde kaçak emisyonlar için toplama verimliliğini belirlemeye yönelik yöntem,</w:t>
      </w:r>
    </w:p>
    <w:p>
      <w:pPr>
        <w:pStyle w:val="LegalList"/>
      </w:pPr>
      <w:r>
        <w:rPr>
          <w:rFonts w:ascii="Avenir Light" w:hAnsi="Avenir Light" w:eastAsia="Avenir Light" w:cs="Avenir Light"/>
          <w:b w:val="0"/>
          <w:i w:val="0"/>
          <w:color w:val="172126"/>
          <w:sz w:val="19"/>
        </w:rPr>
        <w:t>(ç) Hücre tipi ve anot tipinin tarifi.</w:t>
      </w:r>
    </w:p>
    <w:p>
      <w:pPr>
        <w:pStyle w:val="LegalList"/>
      </w:pPr>
      <w:r>
        <w:rPr>
          <w:rFonts w:ascii="Avenir Light" w:hAnsi="Avenir Light" w:eastAsia="Avenir Light" w:cs="Avenir Light"/>
          <w:b w:val="0"/>
          <w:i w:val="0"/>
          <w:color w:val="172126"/>
          <w:sz w:val="19"/>
        </w:rPr>
        <w:t xml:space="preserve">(7) </w:t>
      </w:r>
      <w:hyperlink w:anchor="madde_46" w:history="1">
        <w:r>
          <w:rPr>
            <w:rFonts w:ascii="Avenir Light" w:hAnsi="Avenir Light" w:eastAsia="Avenir Light" w:cs="Avenir Light"/>
            <w:color w:val="188A42"/>
            <w:sz w:val="19"/>
            <w:szCs w:val="19"/>
          </w:rPr>
          <w:t xml:space="preserve">46 ncı madde</w:t>
        </w:r>
      </w:hyperlink>
      <w:r>
        <w:rPr>
          <w:rFonts w:ascii="Avenir Light" w:hAnsi="Avenir Light" w:eastAsia="Avenir Light" w:cs="Avenir Light"/>
          <w:b w:val="0"/>
          <w:i w:val="0"/>
          <w:color w:val="172126"/>
          <w:sz w:val="19"/>
        </w:rPr>
        <w:t xml:space="preserve"> uyarınca bir yakıtın parçası olarak dâhili CO 2 veya </w:t>
      </w:r>
      <w:hyperlink w:anchor="madde_47" w:history="1">
        <w:r>
          <w:rPr>
            <w:rFonts w:ascii="Avenir Light" w:hAnsi="Avenir Light" w:eastAsia="Avenir Light" w:cs="Avenir Light"/>
            <w:color w:val="188A42"/>
            <w:sz w:val="19"/>
            <w:szCs w:val="19"/>
          </w:rPr>
          <w:t xml:space="preserve">47 nci madde</w:t>
        </w:r>
      </w:hyperlink>
      <w:r>
        <w:rPr>
          <w:rFonts w:ascii="Avenir Light" w:hAnsi="Avenir Light" w:eastAsia="Avenir Light" w:cs="Avenir Light"/>
          <w:b w:val="0"/>
          <w:i w:val="0"/>
          <w:color w:val="172126"/>
          <w:sz w:val="19"/>
        </w:rPr>
        <w:t xml:space="preserve"> uyarınca CO 2 transferinin yapıldığı durumlarda, uygun olan hallerde aşağıda yer alan hususları da içerecek şekilde, uygulanan izleme yönteminin ve varsa yazılı prosedürün detaylı tarifi:</w:t>
      </w:r>
    </w:p>
    <w:p>
      <w:pPr>
        <w:pStyle w:val="LegalList"/>
      </w:pPr>
      <w:r>
        <w:rPr>
          <w:rFonts w:ascii="Avenir Light" w:hAnsi="Avenir Light" w:eastAsia="Avenir Light" w:cs="Avenir Light"/>
          <w:b w:val="0"/>
          <w:i w:val="0"/>
          <w:color w:val="172126"/>
          <w:sz w:val="19"/>
        </w:rPr>
        <w:t>(a) Taşıma ağında, ısı ve basınç ölçüm ekipmanının konumu,</w:t>
      </w:r>
    </w:p>
    <w:p>
      <w:pPr>
        <w:pStyle w:val="LegalList"/>
      </w:pPr>
      <w:r>
        <w:rPr>
          <w:rFonts w:ascii="Avenir Light" w:hAnsi="Avenir Light" w:eastAsia="Avenir Light" w:cs="Avenir Light"/>
          <w:b w:val="0"/>
          <w:i w:val="0"/>
          <w:color w:val="172126"/>
          <w:sz w:val="19"/>
        </w:rPr>
        <w:t>(b) Taşıma ağında sızıntı olaylarını önlemek, tespit etmek ve nitelemek için prosedürler,</w:t>
      </w:r>
    </w:p>
    <w:p>
      <w:pPr>
        <w:pStyle w:val="LegalList"/>
      </w:pPr>
      <w:r>
        <w:rPr>
          <w:rFonts w:ascii="Avenir Light" w:hAnsi="Avenir Light" w:eastAsia="Avenir Light" w:cs="Avenir Light"/>
          <w:b w:val="0"/>
          <w:i w:val="0"/>
          <w:color w:val="172126"/>
          <w:sz w:val="19"/>
        </w:rPr>
        <w:t xml:space="preserve">(c) Taşıma ağında, CO 2 ’nin, </w:t>
      </w:r>
      <w:hyperlink w:anchor="madde_47" w:history="1">
        <w:r>
          <w:rPr>
            <w:rFonts w:ascii="Avenir Light" w:hAnsi="Avenir Light" w:eastAsia="Avenir Light" w:cs="Avenir Light"/>
            <w:color w:val="188A42"/>
            <w:sz w:val="19"/>
            <w:szCs w:val="19"/>
          </w:rPr>
          <w:t xml:space="preserve">47 nci madde</w:t>
        </w:r>
      </w:hyperlink>
      <w:r>
        <w:rPr>
          <w:rFonts w:ascii="Avenir Light" w:hAnsi="Avenir Light" w:eastAsia="Avenir Light" w:cs="Avenir Light"/>
          <w:b w:val="0"/>
          <w:i w:val="0"/>
          <w:color w:val="172126"/>
          <w:sz w:val="19"/>
        </w:rPr>
        <w:t xml:space="preserve"> uyarınca atmosfere verilecek CO 2 ’nin etkin bir şekilde izlendiği ve hesaplandığı tesislere transfer edildiğini temin eden prosedürler,</w:t>
      </w:r>
    </w:p>
    <w:p>
      <w:pPr>
        <w:pStyle w:val="LegalList"/>
      </w:pPr>
      <w:r>
        <w:rPr>
          <w:rFonts w:ascii="Avenir Light" w:hAnsi="Avenir Light" w:eastAsia="Avenir Light" w:cs="Avenir Light"/>
          <w:b w:val="0"/>
          <w:i w:val="0"/>
          <w:color w:val="172126"/>
          <w:sz w:val="19"/>
        </w:rPr>
        <w:t>(ç) Transfer eden ve edilen tesislerin kimlik bilgileri,</w:t>
      </w:r>
    </w:p>
    <w:p>
      <w:pPr>
        <w:pStyle w:val="LegalList"/>
      </w:pPr>
      <w:r>
        <w:rPr>
          <w:rFonts w:ascii="Avenir Light" w:hAnsi="Avenir Light" w:eastAsia="Avenir Light" w:cs="Avenir Light"/>
          <w:b w:val="0"/>
          <w:i w:val="0"/>
          <w:color w:val="172126"/>
          <w:sz w:val="19"/>
        </w:rPr>
        <w:t xml:space="preserve">(d) 46 veya </w:t>
      </w:r>
      <w:hyperlink w:anchor="madde_47" w:history="1">
        <w:r>
          <w:rPr>
            <w:rFonts w:ascii="Avenir Light" w:hAnsi="Avenir Light" w:eastAsia="Avenir Light" w:cs="Avenir Light"/>
            <w:color w:val="188A42"/>
            <w:sz w:val="19"/>
            <w:szCs w:val="19"/>
          </w:rPr>
          <w:t xml:space="preserve">47 nci madde</w:t>
        </w:r>
      </w:hyperlink>
      <w:r>
        <w:rPr>
          <w:rFonts w:ascii="Avenir Light" w:hAnsi="Avenir Light" w:eastAsia="Avenir Light" w:cs="Avenir Light"/>
          <w:b w:val="0"/>
          <w:i w:val="0"/>
          <w:color w:val="172126"/>
          <w:sz w:val="19"/>
        </w:rPr>
        <w:t>ler uyarınca, aralarında CO 2 transfer eden tesislerde CO 2 transfer noktalarında kullanılan sürekli ölçüm sistemlerinin tarifi,</w:t>
      </w:r>
    </w:p>
    <w:p>
      <w:pPr>
        <w:pStyle w:val="LegalList"/>
      </w:pPr>
      <w:r>
        <w:rPr>
          <w:rFonts w:ascii="Avenir Light" w:hAnsi="Avenir Light" w:eastAsia="Avenir Light" w:cs="Avenir Light"/>
          <w:b w:val="0"/>
          <w:i w:val="0"/>
          <w:color w:val="172126"/>
          <w:sz w:val="19"/>
        </w:rPr>
        <w:t xml:space="preserve">(e) 46 veya </w:t>
      </w:r>
      <w:hyperlink w:anchor="madde_47" w:history="1">
        <w:r>
          <w:rPr>
            <w:rFonts w:ascii="Avenir Light" w:hAnsi="Avenir Light" w:eastAsia="Avenir Light" w:cs="Avenir Light"/>
            <w:color w:val="188A42"/>
            <w:sz w:val="19"/>
            <w:szCs w:val="19"/>
          </w:rPr>
          <w:t xml:space="preserve">47 nci madde</w:t>
        </w:r>
      </w:hyperlink>
      <w:r>
        <w:rPr>
          <w:rFonts w:ascii="Avenir Light" w:hAnsi="Avenir Light" w:eastAsia="Avenir Light" w:cs="Avenir Light"/>
          <w:b w:val="0"/>
          <w:i w:val="0"/>
          <w:color w:val="172126"/>
          <w:sz w:val="19"/>
        </w:rPr>
        <w:t>ler uyarınca, transfer edilen CO 2 ’nin biyokütle oranını belirlemek için kullanılan ihtiyatlı tahmin yönteminin tarifi. (Değişik:RG-5/2/2021-31386)</w:t>
      </w:r>
    </w:p>
    <w:p>
      <w:bookmarkStart w:id="74" w:name="ek_2"/>
      <w:pPr>
        <w:pStyle w:val="AnnexHeading"/>
      </w:pPr>
      <w:hyperlink w:anchor="ek_2" w:history="1">
        <w:r>
          <w:rPr>
            <w:rFonts w:ascii="Avenir Light" w:hAnsi="Avenir Light" w:eastAsia="Avenir Light" w:cs="Avenir Light"/>
            <w:color w:val="188A42"/>
            <w:sz w:val="28"/>
            <w:szCs w:val="28"/>
          </w:rPr>
          <w:t xml:space="preserve">EK-2</w:t>
        </w:r>
      </w:hyperlink>
      <w:bookmarkEnd w:id="74"/>
    </w:p>
    <w:p>
      <w:pPr>
        <w:pStyle w:val="AnnexTitle"/>
      </w:pPr>
      <w:r>
        <w:rPr>
          <w:rFonts w:ascii="Avenir Light" w:hAnsi="Avenir Light" w:eastAsia="Avenir Light" w:cs="Avenir Light"/>
          <w:b w:val="0"/>
          <w:i w:val="0"/>
          <w:color w:val="172126"/>
          <w:sz w:val="24"/>
        </w:rPr>
        <w:t>TESİSLER İLE İLGİLİ HESAPLAMA TEMELLİ YÖNTEMLER İÇİN</w:t>
      </w:r>
    </w:p>
    <w:p>
      <w:pPr>
        <w:pStyle w:val="AnnexTitle"/>
      </w:pPr>
      <w:r>
        <w:rPr>
          <w:rFonts w:ascii="Avenir Light" w:hAnsi="Avenir Light" w:eastAsia="Avenir Light" w:cs="Avenir Light"/>
          <w:b w:val="0"/>
          <w:i w:val="0"/>
          <w:color w:val="172126"/>
          <w:sz w:val="24"/>
        </w:rPr>
        <w:t>KADEME EŞİKLERİ</w:t>
      </w:r>
    </w:p>
    <w:p>
      <w:pPr>
        <w:pStyle w:val="AnnexSubheading"/>
      </w:pPr>
      <w:r>
        <w:rPr>
          <w:rFonts w:ascii="Avenir Light" w:hAnsi="Avenir Light" w:eastAsia="Avenir Light" w:cs="Avenir Light"/>
          <w:b w:val="0"/>
          <w:i w:val="0"/>
          <w:color w:val="0D5F31"/>
          <w:sz w:val="21"/>
        </w:rPr>
        <w:t>1. Faaliyet Verisi İçin Kademelerin Tanımı</w:t>
      </w:r>
    </w:p>
    <w:p>
      <w:pPr>
        <w:pStyle w:val="ArticleText"/>
      </w:pPr>
      <w:r>
        <w:rPr>
          <w:rFonts w:ascii="Avenir Light" w:hAnsi="Avenir Light" w:eastAsia="Avenir Light" w:cs="Avenir Light"/>
          <w:b w:val="0"/>
          <w:i w:val="0"/>
          <w:color w:val="172126"/>
          <w:sz w:val="19"/>
        </w:rPr>
        <w:t xml:space="preserve">Tablo 2.1’deki belirsizlik eşikleri, 27nci maddenin birinci fıkrasının (a) bendi, 28inci maddenin ikinci fıkrası ve bu Tebliğin </w:t>
      </w:r>
      <w:hyperlink w:anchor="ek_3" w:history="1">
        <w:r>
          <w:rPr>
            <w:rFonts w:ascii="Avenir Light" w:hAnsi="Avenir Light" w:eastAsia="Avenir Light" w:cs="Avenir Light"/>
            <w:color w:val="188A42"/>
            <w:sz w:val="19"/>
            <w:szCs w:val="19"/>
          </w:rPr>
          <w:t xml:space="preserve">ek-3</w:t>
        </w:r>
      </w:hyperlink>
      <w:r>
        <w:rPr>
          <w:rFonts w:ascii="Avenir Light" w:hAnsi="Avenir Light" w:eastAsia="Avenir Light" w:cs="Avenir Light"/>
          <w:b w:val="0"/>
          <w:i w:val="0"/>
          <w:color w:val="172126"/>
          <w:sz w:val="19"/>
        </w:rPr>
        <w:t xml:space="preserve">’ü kapsamında faaliyet verisi gereksinimleri ile bağlantılı kademelere uygulanır. Belirsizlik eşikleri, bir raporlama dönemi süresince kaynak akışlarının belirlenmesi için izin verilebilir azami belirsizlikler olarak yorumlanacaktır. Tablo 2.1, Yönetmeliğin </w:t>
      </w:r>
      <w:hyperlink w:anchor="ek_1" w:history="1">
        <w:r>
          <w:rPr>
            <w:rFonts w:ascii="Avenir Light" w:hAnsi="Avenir Light" w:eastAsia="Avenir Light" w:cs="Avenir Light"/>
            <w:color w:val="188A42"/>
            <w:sz w:val="19"/>
            <w:szCs w:val="19"/>
          </w:rPr>
          <w:t xml:space="preserve">ek-1</w:t>
        </w:r>
      </w:hyperlink>
      <w:r>
        <w:rPr>
          <w:rFonts w:ascii="Avenir Light" w:hAnsi="Avenir Light" w:eastAsia="Avenir Light" w:cs="Avenir Light"/>
          <w:b w:val="0"/>
          <w:i w:val="0"/>
          <w:color w:val="172126"/>
          <w:sz w:val="19"/>
        </w:rPr>
        <w:t>’inde listelenen faaliyetleri içermediği ve kütle dengesi yönteminin uygulanmadığı durumlarda, işletme, söz konusu faaliyetler için Tablo 2.1’de “Yakıtların yanması ve proses girdisi olarak kullanılan yakıtlar” başlığı altında listelenen kademeleri kullanır. Tablo 2.1: Faaliyet Verisi için Kademeler (her bir kademe için azami izin verilebilir belirsizlik)</w:t>
      </w:r>
    </w:p>
    <w:tbl>
      <w:tblPr>
        <w:tblStyle w:val="TableGrid"/>
        <w:tblW w:type="dxa" w:w="9864"/>
        <w:jc w:val="left"/>
        <w:tblLayout w:type="fixed"/>
        <w:tblLook w:firstColumn="1" w:firstRow="1" w:lastColumn="0" w:lastRow="0" w:noHBand="0" w:noVBand="1" w:val="04A0"/>
        <w:tblInd w:w="120" w:type="dxa"/>
      </w:tblPr>
      <w:tblGrid>
        <w:gridCol w:w="4141"/>
        <w:gridCol w:w="2711"/>
        <w:gridCol w:w="753"/>
        <w:gridCol w:w="753"/>
        <w:gridCol w:w="753"/>
        <w:gridCol w:w="753"/>
      </w:tblGrid>
      <w:tr>
        <w:trPr>
          <w:tblHeader/>
          <w:cantSplit/>
        </w:trPr>
        <w:tc>
          <w:tcPr>
            <w:tcW w:type="dxa" w:w="4141"/>
            <w:vAlign w:val="center"/>
            <w:shd w:fill="0D5F31"/>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FFFFFF"/>
                <w:sz w:val="14"/>
              </w:rPr>
              <w:t>Faaliyet/kaynak akışı tipi</w:t>
            </w:r>
          </w:p>
        </w:tc>
        <w:tc>
          <w:tcPr>
            <w:tcW w:type="dxa" w:w="2711"/>
            <w:vAlign w:val="center"/>
            <w:shd w:fill="0D5F31"/>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FFFFFF"/>
                <w:sz w:val="14"/>
              </w:rPr>
              <w:t>Belirsizliğin uygulanacağı parametre</w:t>
            </w:r>
          </w:p>
        </w:tc>
        <w:tc>
          <w:tcPr>
            <w:tcW w:type="dxa" w:w="753"/>
            <w:vAlign w:val="center"/>
            <w:shd w:fill="0D5F31"/>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FFFFFF"/>
                <w:sz w:val="14"/>
              </w:rPr>
              <w:t>Kademe 1</w:t>
            </w:r>
          </w:p>
        </w:tc>
        <w:tc>
          <w:tcPr>
            <w:tcW w:type="dxa" w:w="753"/>
            <w:vAlign w:val="center"/>
            <w:shd w:fill="0D5F31"/>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FFFFFF"/>
                <w:sz w:val="14"/>
              </w:rPr>
              <w:t>Kademe 2</w:t>
            </w:r>
          </w:p>
        </w:tc>
        <w:tc>
          <w:tcPr>
            <w:tcW w:type="dxa" w:w="753"/>
            <w:vAlign w:val="center"/>
            <w:shd w:fill="0D5F31"/>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FFFFFF"/>
                <w:sz w:val="14"/>
              </w:rPr>
              <w:t>Kademe 3</w:t>
            </w:r>
          </w:p>
        </w:tc>
        <w:tc>
          <w:tcPr>
            <w:tcW w:type="dxa" w:w="753"/>
            <w:vAlign w:val="center"/>
            <w:shd w:fill="0D5F31"/>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FFFFFF"/>
                <w:sz w:val="14"/>
              </w:rPr>
              <w:t>Kademe 4</w:t>
            </w:r>
          </w:p>
        </w:tc>
      </w:tr>
      <w:tr>
        <w:trPr>
          <w:cantSplit/>
        </w:trPr>
        <w:tc>
          <w:tcPr>
            <w:tcW w:type="dxa" w:w="4141"/>
            <w:vAlign w:val="center"/>
            <w:shd w:fill="ECF6EF"/>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0D5F31"/>
                <w:sz w:val="14"/>
              </w:rPr>
              <w:t>Yakıtların yanması ve proses girdisi olarak kullanılan yakıtlar</w:t>
            </w:r>
          </w:p>
        </w:tc>
        <w:tc>
          <w:tcPr>
            <w:tcW w:type="dxa" w:w="2711"/>
            <w:vAlign w:val="center"/>
            <w:shd w:fill="ECF6EF"/>
            <w:tcMar>
              <w:top w:w="80" w:type="dxa"/>
              <w:start w:w="120" w:type="dxa"/>
              <w:bottom w:w="80" w:type="dxa"/>
              <w:end w:w="120" w:type="dxa"/>
            </w:tcMar>
          </w:tcPr>
          <w:p>
            <w:pPr>
              <w:spacing w:before="0" w:after="0" w:line="245" w:lineRule="auto"/>
              <w:jc w:val="center"/>
            </w:pPr>
          </w:p>
        </w:tc>
        <w:tc>
          <w:tcPr>
            <w:tcW w:type="dxa" w:w="753"/>
            <w:vAlign w:val="center"/>
            <w:shd w:fill="ECF6EF"/>
            <w:tcMar>
              <w:top w:w="80" w:type="dxa"/>
              <w:start w:w="120" w:type="dxa"/>
              <w:bottom w:w="80" w:type="dxa"/>
              <w:end w:w="120" w:type="dxa"/>
            </w:tcMar>
          </w:tcPr>
          <w:p>
            <w:pPr>
              <w:spacing w:before="0" w:after="0" w:line="245" w:lineRule="auto"/>
              <w:jc w:val="center"/>
            </w:pPr>
          </w:p>
        </w:tc>
        <w:tc>
          <w:tcPr>
            <w:tcW w:type="dxa" w:w="753"/>
            <w:vAlign w:val="center"/>
            <w:shd w:fill="ECF6EF"/>
            <w:tcMar>
              <w:top w:w="80" w:type="dxa"/>
              <w:start w:w="120" w:type="dxa"/>
              <w:bottom w:w="80" w:type="dxa"/>
              <w:end w:w="120" w:type="dxa"/>
            </w:tcMar>
          </w:tcPr>
          <w:p>
            <w:pPr>
              <w:spacing w:before="0" w:after="0" w:line="245" w:lineRule="auto"/>
              <w:jc w:val="center"/>
            </w:pPr>
          </w:p>
        </w:tc>
        <w:tc>
          <w:tcPr>
            <w:tcW w:type="dxa" w:w="753"/>
            <w:vAlign w:val="center"/>
            <w:shd w:fill="ECF6EF"/>
            <w:tcMar>
              <w:top w:w="80" w:type="dxa"/>
              <w:start w:w="120" w:type="dxa"/>
              <w:bottom w:w="80" w:type="dxa"/>
              <w:end w:w="120" w:type="dxa"/>
            </w:tcMar>
          </w:tcPr>
          <w:p>
            <w:pPr>
              <w:spacing w:before="0" w:after="0" w:line="245" w:lineRule="auto"/>
              <w:jc w:val="center"/>
            </w:pPr>
          </w:p>
        </w:tc>
        <w:tc>
          <w:tcPr>
            <w:tcW w:type="dxa" w:w="753"/>
            <w:vAlign w:val="center"/>
            <w:shd w:fill="ECF6EF"/>
            <w:tcMar>
              <w:top w:w="80" w:type="dxa"/>
              <w:start w:w="120" w:type="dxa"/>
              <w:bottom w:w="80" w:type="dxa"/>
              <w:end w:w="120" w:type="dxa"/>
            </w:tcMar>
          </w:tcPr>
          <w:p>
            <w:pPr>
              <w:spacing w:before="0" w:after="0" w:line="245" w:lineRule="auto"/>
              <w:jc w:val="center"/>
            </w:pPr>
          </w:p>
        </w:tc>
      </w:tr>
      <w:tr>
        <w:trPr>
          <w:cantSplit/>
        </w:trPr>
        <w:tc>
          <w:tcPr>
            <w:tcW w:type="dxa" w:w="414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Ticari standart yakıtlar</w:t>
            </w:r>
          </w:p>
        </w:tc>
        <w:tc>
          <w:tcPr>
            <w:tcW w:type="dxa" w:w="271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Yakıt miktarı [t] veya [Nm3]</w:t>
            </w:r>
          </w:p>
        </w:tc>
        <w:tc>
          <w:tcPr>
            <w:tcW w:type="dxa" w:w="753"/>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7.5</w:t>
            </w:r>
          </w:p>
        </w:tc>
        <w:tc>
          <w:tcPr>
            <w:tcW w:type="dxa" w:w="753"/>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5</w:t>
            </w:r>
          </w:p>
        </w:tc>
        <w:tc>
          <w:tcPr>
            <w:tcW w:type="dxa" w:w="753"/>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2.5</w:t>
            </w:r>
          </w:p>
        </w:tc>
        <w:tc>
          <w:tcPr>
            <w:tcW w:type="dxa" w:w="753"/>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1.5</w:t>
            </w:r>
          </w:p>
        </w:tc>
      </w:tr>
      <w:tr>
        <w:trPr>
          <w:cantSplit/>
        </w:trPr>
        <w:tc>
          <w:tcPr>
            <w:tcW w:type="dxa" w:w="414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Diğer gaz &amp; sıvı yakıtlar</w:t>
            </w:r>
          </w:p>
        </w:tc>
        <w:tc>
          <w:tcPr>
            <w:tcW w:type="dxa" w:w="271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Yakıt miktarı [t] veya [Nm3]</w:t>
            </w:r>
          </w:p>
        </w:tc>
        <w:tc>
          <w:tcPr>
            <w:tcW w:type="dxa" w:w="753"/>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7.5</w:t>
            </w:r>
          </w:p>
        </w:tc>
        <w:tc>
          <w:tcPr>
            <w:tcW w:type="dxa" w:w="753"/>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5</w:t>
            </w:r>
          </w:p>
        </w:tc>
        <w:tc>
          <w:tcPr>
            <w:tcW w:type="dxa" w:w="753"/>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2.5</w:t>
            </w:r>
          </w:p>
        </w:tc>
        <w:tc>
          <w:tcPr>
            <w:tcW w:type="dxa" w:w="753"/>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1.5</w:t>
            </w:r>
          </w:p>
        </w:tc>
      </w:tr>
      <w:tr>
        <w:trPr>
          <w:cantSplit/>
        </w:trPr>
        <w:tc>
          <w:tcPr>
            <w:tcW w:type="dxa" w:w="414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Katı yakıtlar</w:t>
            </w:r>
          </w:p>
        </w:tc>
        <w:tc>
          <w:tcPr>
            <w:tcW w:type="dxa" w:w="271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Yakıt miktarı [t]</w:t>
            </w:r>
          </w:p>
        </w:tc>
        <w:tc>
          <w:tcPr>
            <w:tcW w:type="dxa" w:w="753"/>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7.5</w:t>
            </w:r>
          </w:p>
        </w:tc>
        <w:tc>
          <w:tcPr>
            <w:tcW w:type="dxa" w:w="753"/>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5</w:t>
            </w:r>
          </w:p>
        </w:tc>
        <w:tc>
          <w:tcPr>
            <w:tcW w:type="dxa" w:w="753"/>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2.5</w:t>
            </w:r>
          </w:p>
        </w:tc>
        <w:tc>
          <w:tcPr>
            <w:tcW w:type="dxa" w:w="753"/>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1.5</w:t>
            </w:r>
          </w:p>
        </w:tc>
      </w:tr>
      <w:tr>
        <w:trPr>
          <w:cantSplit/>
        </w:trPr>
        <w:tc>
          <w:tcPr>
            <w:tcW w:type="dxa" w:w="414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Alevleme (Flaring)</w:t>
            </w:r>
          </w:p>
        </w:tc>
        <w:tc>
          <w:tcPr>
            <w:tcW w:type="dxa" w:w="271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Yakılan gazın miktarı [Nm3]</w:t>
            </w:r>
          </w:p>
        </w:tc>
        <w:tc>
          <w:tcPr>
            <w:tcW w:type="dxa" w:w="753"/>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17.5</w:t>
            </w:r>
          </w:p>
        </w:tc>
        <w:tc>
          <w:tcPr>
            <w:tcW w:type="dxa" w:w="753"/>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12.5</w:t>
            </w:r>
          </w:p>
        </w:tc>
        <w:tc>
          <w:tcPr>
            <w:tcW w:type="dxa" w:w="753"/>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7.5</w:t>
            </w:r>
          </w:p>
        </w:tc>
        <w:tc>
          <w:tcPr>
            <w:tcW w:type="dxa" w:w="753"/>
            <w:vAlign w:val="center"/>
            <w:tcMar>
              <w:top w:w="80" w:type="dxa"/>
              <w:start w:w="120" w:type="dxa"/>
              <w:bottom w:w="80" w:type="dxa"/>
              <w:end w:w="120" w:type="dxa"/>
            </w:tcMar>
          </w:tcPr>
          <w:p>
            <w:pPr>
              <w:spacing w:before="0" w:after="0" w:line="245" w:lineRule="auto"/>
            </w:pPr>
          </w:p>
        </w:tc>
      </w:tr>
      <w:tr>
        <w:trPr>
          <w:cantSplit/>
        </w:trPr>
        <w:tc>
          <w:tcPr>
            <w:tcW w:type="dxa" w:w="414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Yıkama: karbonat (Yöntem A)</w:t>
            </w:r>
          </w:p>
        </w:tc>
        <w:tc>
          <w:tcPr>
            <w:tcW w:type="dxa" w:w="271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Tüketilen karbonat miktarı [t]</w:t>
            </w:r>
          </w:p>
        </w:tc>
        <w:tc>
          <w:tcPr>
            <w:tcW w:type="dxa" w:w="753"/>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7.5</w:t>
            </w:r>
          </w:p>
        </w:tc>
        <w:tc>
          <w:tcPr>
            <w:tcW w:type="dxa" w:w="753"/>
            <w:vAlign w:val="center"/>
            <w:tcMar>
              <w:top w:w="80" w:type="dxa"/>
              <w:start w:w="120" w:type="dxa"/>
              <w:bottom w:w="80" w:type="dxa"/>
              <w:end w:w="120" w:type="dxa"/>
            </w:tcMar>
          </w:tcPr>
          <w:p>
            <w:pPr>
              <w:spacing w:before="0" w:after="0" w:line="245" w:lineRule="auto"/>
            </w:pPr>
          </w:p>
        </w:tc>
        <w:tc>
          <w:tcPr>
            <w:tcW w:type="dxa" w:w="753"/>
            <w:vAlign w:val="center"/>
            <w:tcMar>
              <w:top w:w="80" w:type="dxa"/>
              <w:start w:w="120" w:type="dxa"/>
              <w:bottom w:w="80" w:type="dxa"/>
              <w:end w:w="120" w:type="dxa"/>
            </w:tcMar>
          </w:tcPr>
          <w:p>
            <w:pPr>
              <w:spacing w:before="0" w:after="0" w:line="245" w:lineRule="auto"/>
            </w:pPr>
          </w:p>
        </w:tc>
        <w:tc>
          <w:tcPr>
            <w:tcW w:type="dxa" w:w="753"/>
            <w:vAlign w:val="center"/>
            <w:tcMar>
              <w:top w:w="80" w:type="dxa"/>
              <w:start w:w="120" w:type="dxa"/>
              <w:bottom w:w="80" w:type="dxa"/>
              <w:end w:w="120" w:type="dxa"/>
            </w:tcMar>
          </w:tcPr>
          <w:p>
            <w:pPr>
              <w:spacing w:before="0" w:after="0" w:line="245" w:lineRule="auto"/>
            </w:pPr>
          </w:p>
        </w:tc>
      </w:tr>
      <w:tr>
        <w:trPr>
          <w:cantSplit/>
        </w:trPr>
        <w:tc>
          <w:tcPr>
            <w:tcW w:type="dxa" w:w="414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Yıkama: alçı taşı (Yöntem B)</w:t>
            </w:r>
          </w:p>
        </w:tc>
        <w:tc>
          <w:tcPr>
            <w:tcW w:type="dxa" w:w="271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Üretilen alçı taşı miktarı [t]</w:t>
            </w:r>
          </w:p>
        </w:tc>
        <w:tc>
          <w:tcPr>
            <w:tcW w:type="dxa" w:w="753"/>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7.5</w:t>
            </w:r>
          </w:p>
        </w:tc>
        <w:tc>
          <w:tcPr>
            <w:tcW w:type="dxa" w:w="753"/>
            <w:vAlign w:val="center"/>
            <w:tcMar>
              <w:top w:w="80" w:type="dxa"/>
              <w:start w:w="120" w:type="dxa"/>
              <w:bottom w:w="80" w:type="dxa"/>
              <w:end w:w="120" w:type="dxa"/>
            </w:tcMar>
          </w:tcPr>
          <w:p>
            <w:pPr>
              <w:spacing w:before="0" w:after="0" w:line="245" w:lineRule="auto"/>
            </w:pPr>
          </w:p>
        </w:tc>
        <w:tc>
          <w:tcPr>
            <w:tcW w:type="dxa" w:w="753"/>
            <w:vAlign w:val="center"/>
            <w:tcMar>
              <w:top w:w="80" w:type="dxa"/>
              <w:start w:w="120" w:type="dxa"/>
              <w:bottom w:w="80" w:type="dxa"/>
              <w:end w:w="120" w:type="dxa"/>
            </w:tcMar>
          </w:tcPr>
          <w:p>
            <w:pPr>
              <w:spacing w:before="0" w:after="0" w:line="245" w:lineRule="auto"/>
            </w:pPr>
          </w:p>
        </w:tc>
        <w:tc>
          <w:tcPr>
            <w:tcW w:type="dxa" w:w="753"/>
            <w:vAlign w:val="center"/>
            <w:tcMar>
              <w:top w:w="80" w:type="dxa"/>
              <w:start w:w="120" w:type="dxa"/>
              <w:bottom w:w="80" w:type="dxa"/>
              <w:end w:w="120" w:type="dxa"/>
            </w:tcMar>
          </w:tcPr>
          <w:p>
            <w:pPr>
              <w:spacing w:before="0" w:after="0" w:line="245" w:lineRule="auto"/>
            </w:pPr>
          </w:p>
        </w:tc>
      </w:tr>
      <w:tr>
        <w:trPr>
          <w:cantSplit/>
        </w:trPr>
        <w:tc>
          <w:tcPr>
            <w:tcW w:type="dxa" w:w="414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Yıkama: Üre</w:t>
            </w:r>
          </w:p>
        </w:tc>
        <w:tc>
          <w:tcPr>
            <w:tcW w:type="dxa" w:w="271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Tüketilen üre miktarı</w:t>
            </w:r>
          </w:p>
        </w:tc>
        <w:tc>
          <w:tcPr>
            <w:tcW w:type="dxa" w:w="753"/>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7.5</w:t>
            </w:r>
          </w:p>
        </w:tc>
        <w:tc>
          <w:tcPr>
            <w:tcW w:type="dxa" w:w="753"/>
            <w:vAlign w:val="center"/>
            <w:tcMar>
              <w:top w:w="80" w:type="dxa"/>
              <w:start w:w="120" w:type="dxa"/>
              <w:bottom w:w="80" w:type="dxa"/>
              <w:end w:w="120" w:type="dxa"/>
            </w:tcMar>
          </w:tcPr>
          <w:p>
            <w:pPr>
              <w:spacing w:before="0" w:after="0" w:line="245" w:lineRule="auto"/>
            </w:pPr>
          </w:p>
        </w:tc>
        <w:tc>
          <w:tcPr>
            <w:tcW w:type="dxa" w:w="753"/>
            <w:vAlign w:val="center"/>
            <w:tcMar>
              <w:top w:w="80" w:type="dxa"/>
              <w:start w:w="120" w:type="dxa"/>
              <w:bottom w:w="80" w:type="dxa"/>
              <w:end w:w="120" w:type="dxa"/>
            </w:tcMar>
          </w:tcPr>
          <w:p>
            <w:pPr>
              <w:spacing w:before="0" w:after="0" w:line="245" w:lineRule="auto"/>
            </w:pPr>
          </w:p>
        </w:tc>
        <w:tc>
          <w:tcPr>
            <w:tcW w:type="dxa" w:w="753"/>
            <w:vAlign w:val="center"/>
            <w:tcMar>
              <w:top w:w="80" w:type="dxa"/>
              <w:start w:w="120" w:type="dxa"/>
              <w:bottom w:w="80" w:type="dxa"/>
              <w:end w:w="120" w:type="dxa"/>
            </w:tcMar>
          </w:tcPr>
          <w:p>
            <w:pPr>
              <w:spacing w:before="0" w:after="0" w:line="245" w:lineRule="auto"/>
            </w:pPr>
          </w:p>
        </w:tc>
      </w:tr>
    </w:tbl>
    <w:tbl>
      <w:tblPr>
        <w:tblStyle w:val="TableGrid"/>
        <w:tblW w:type="dxa" w:w="9864"/>
        <w:jc w:val="left"/>
        <w:tblLayout w:type="fixed"/>
        <w:tblLook w:firstColumn="1" w:firstRow="1" w:lastColumn="0" w:lastRow="0" w:noHBand="0" w:noVBand="1" w:val="04A0"/>
        <w:tblInd w:w="120" w:type="dxa"/>
      </w:tblPr>
      <w:tblGrid>
        <w:gridCol w:w="3356"/>
        <w:gridCol w:w="3628"/>
        <w:gridCol w:w="720"/>
        <w:gridCol w:w="720"/>
        <w:gridCol w:w="720"/>
        <w:gridCol w:w="720"/>
      </w:tblGrid>
      <w:tr>
        <w:trPr>
          <w:tblHeader/>
          <w:cantSplit/>
        </w:trPr>
        <w:tc>
          <w:tcPr>
            <w:tcW w:type="dxa" w:w="3356"/>
            <w:vAlign w:val="center"/>
            <w:shd w:fill="0D5F31"/>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FFFFFF"/>
                <w:sz w:val="14"/>
              </w:rPr>
              <w:t>Petrol rafinasyonu</w:t>
            </w:r>
          </w:p>
        </w:tc>
        <w:tc>
          <w:tcPr>
            <w:tcW w:type="dxa" w:w="3628"/>
            <w:vAlign w:val="center"/>
            <w:shd w:fill="0D5F31"/>
            <w:tcMar>
              <w:top w:w="80" w:type="dxa"/>
              <w:start w:w="120" w:type="dxa"/>
              <w:bottom w:w="80" w:type="dxa"/>
              <w:end w:w="120" w:type="dxa"/>
            </w:tcMar>
          </w:tcPr>
          <w:p>
            <w:pPr>
              <w:spacing w:before="0" w:after="0" w:line="245" w:lineRule="auto"/>
              <w:jc w:val="center"/>
            </w:pPr>
          </w:p>
        </w:tc>
        <w:tc>
          <w:tcPr>
            <w:tcW w:type="dxa" w:w="720"/>
            <w:vAlign w:val="center"/>
            <w:shd w:fill="0D5F31"/>
            <w:tcMar>
              <w:top w:w="80" w:type="dxa"/>
              <w:start w:w="120" w:type="dxa"/>
              <w:bottom w:w="80" w:type="dxa"/>
              <w:end w:w="120" w:type="dxa"/>
            </w:tcMar>
          </w:tcPr>
          <w:p>
            <w:pPr>
              <w:spacing w:before="0" w:after="0" w:line="245" w:lineRule="auto"/>
              <w:jc w:val="center"/>
            </w:pPr>
          </w:p>
        </w:tc>
        <w:tc>
          <w:tcPr>
            <w:tcW w:type="dxa" w:w="720"/>
            <w:vAlign w:val="center"/>
            <w:shd w:fill="0D5F31"/>
            <w:tcMar>
              <w:top w:w="80" w:type="dxa"/>
              <w:start w:w="120" w:type="dxa"/>
              <w:bottom w:w="80" w:type="dxa"/>
              <w:end w:w="120" w:type="dxa"/>
            </w:tcMar>
          </w:tcPr>
          <w:p>
            <w:pPr>
              <w:spacing w:before="0" w:after="0" w:line="245" w:lineRule="auto"/>
              <w:jc w:val="center"/>
            </w:pPr>
          </w:p>
        </w:tc>
        <w:tc>
          <w:tcPr>
            <w:tcW w:type="dxa" w:w="720"/>
            <w:vAlign w:val="center"/>
            <w:shd w:fill="0D5F31"/>
            <w:tcMar>
              <w:top w:w="80" w:type="dxa"/>
              <w:start w:w="120" w:type="dxa"/>
              <w:bottom w:w="80" w:type="dxa"/>
              <w:end w:w="120" w:type="dxa"/>
            </w:tcMar>
          </w:tcPr>
          <w:p>
            <w:pPr>
              <w:spacing w:before="0" w:after="0" w:line="245" w:lineRule="auto"/>
              <w:jc w:val="center"/>
            </w:pPr>
          </w:p>
        </w:tc>
        <w:tc>
          <w:tcPr>
            <w:tcW w:type="dxa" w:w="720"/>
            <w:vAlign w:val="center"/>
            <w:shd w:fill="0D5F31"/>
            <w:tcMar>
              <w:top w:w="80" w:type="dxa"/>
              <w:start w:w="120" w:type="dxa"/>
              <w:bottom w:w="80" w:type="dxa"/>
              <w:end w:w="120" w:type="dxa"/>
            </w:tcMar>
          </w:tcPr>
          <w:p>
            <w:pPr>
              <w:spacing w:before="0" w:after="0" w:line="245" w:lineRule="auto"/>
              <w:jc w:val="center"/>
            </w:pPr>
          </w:p>
        </w:tc>
      </w:tr>
      <w:tr>
        <w:trPr>
          <w:cantSplit/>
        </w:trPr>
        <w:tc>
          <w:tcPr>
            <w:tcW w:type="dxa" w:w="3356"/>
            <w:vAlign w:val="center"/>
            <w:shd w:fill="ECF6EF"/>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0D5F31"/>
                <w:sz w:val="14"/>
              </w:rPr>
              <w:t>Katalitik kırılma (kraking) rejenerasyonu *</w:t>
            </w:r>
          </w:p>
        </w:tc>
        <w:tc>
          <w:tcPr>
            <w:tcW w:type="dxa" w:w="3628"/>
            <w:vAlign w:val="center"/>
            <w:shd w:fill="ECF6EF"/>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0D5F31"/>
                <w:sz w:val="14"/>
              </w:rPr>
              <w:t>Her bir emisyon kaynağı için ayrı uygulanan belirsizlik gereksinimleri</w:t>
            </w:r>
          </w:p>
        </w:tc>
        <w:tc>
          <w:tcPr>
            <w:tcW w:type="dxa" w:w="720"/>
            <w:vAlign w:val="center"/>
            <w:shd w:fill="ECF6EF"/>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0D5F31"/>
                <w:sz w:val="14"/>
              </w:rPr>
              <w:t>± % 10</w:t>
            </w:r>
          </w:p>
        </w:tc>
        <w:tc>
          <w:tcPr>
            <w:tcW w:type="dxa" w:w="720"/>
            <w:vAlign w:val="center"/>
            <w:shd w:fill="ECF6EF"/>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0D5F31"/>
                <w:sz w:val="14"/>
              </w:rPr>
              <w:t>± % 7.5</w:t>
            </w:r>
          </w:p>
        </w:tc>
        <w:tc>
          <w:tcPr>
            <w:tcW w:type="dxa" w:w="720"/>
            <w:vAlign w:val="center"/>
            <w:shd w:fill="ECF6EF"/>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0D5F31"/>
                <w:sz w:val="14"/>
              </w:rPr>
              <w:t>± % 5</w:t>
            </w:r>
          </w:p>
        </w:tc>
        <w:tc>
          <w:tcPr>
            <w:tcW w:type="dxa" w:w="720"/>
            <w:vAlign w:val="center"/>
            <w:shd w:fill="ECF6EF"/>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0D5F31"/>
                <w:sz w:val="14"/>
              </w:rPr>
              <w:t>± % 2.5</w:t>
            </w:r>
          </w:p>
        </w:tc>
      </w:tr>
      <w:tr>
        <w:trPr>
          <w:cantSplit/>
        </w:trPr>
        <w:tc>
          <w:tcPr>
            <w:tcW w:type="dxa" w:w="335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Hidrojen üretimi</w:t>
            </w:r>
          </w:p>
        </w:tc>
        <w:tc>
          <w:tcPr>
            <w:tcW w:type="dxa" w:w="362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Hidrokarbon besleme [t]</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7.5</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2.5</w:t>
            </w:r>
          </w:p>
        </w:tc>
        <w:tc>
          <w:tcPr>
            <w:tcW w:type="dxa" w:w="720"/>
            <w:vAlign w:val="center"/>
            <w:tcMar>
              <w:top w:w="80" w:type="dxa"/>
              <w:start w:w="120" w:type="dxa"/>
              <w:bottom w:w="80" w:type="dxa"/>
              <w:end w:w="120" w:type="dxa"/>
            </w:tcMar>
          </w:tcPr>
          <w:p>
            <w:pPr>
              <w:spacing w:before="0" w:after="0" w:line="245" w:lineRule="auto"/>
            </w:pPr>
          </w:p>
        </w:tc>
        <w:tc>
          <w:tcPr>
            <w:tcW w:type="dxa" w:w="720"/>
            <w:vAlign w:val="center"/>
            <w:tcMar>
              <w:top w:w="80" w:type="dxa"/>
              <w:start w:w="120" w:type="dxa"/>
              <w:bottom w:w="80" w:type="dxa"/>
              <w:end w:w="120" w:type="dxa"/>
            </w:tcMar>
          </w:tcPr>
          <w:p>
            <w:pPr>
              <w:spacing w:before="0" w:after="0" w:line="245" w:lineRule="auto"/>
            </w:pPr>
          </w:p>
        </w:tc>
      </w:tr>
      <w:tr>
        <w:trPr>
          <w:cantSplit/>
        </w:trPr>
        <w:tc>
          <w:tcPr>
            <w:tcW w:type="dxa" w:w="3356"/>
            <w:vAlign w:val="center"/>
            <w:shd w:fill="ECF6EF"/>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0D5F31"/>
                <w:sz w:val="14"/>
              </w:rPr>
              <w:t>Kok üretimi</w:t>
            </w:r>
          </w:p>
        </w:tc>
        <w:tc>
          <w:tcPr>
            <w:tcW w:type="dxa" w:w="3628"/>
            <w:vAlign w:val="center"/>
            <w:tcMar>
              <w:top w:w="80" w:type="dxa"/>
              <w:start w:w="120" w:type="dxa"/>
              <w:bottom w:w="80" w:type="dxa"/>
              <w:end w:w="120" w:type="dxa"/>
            </w:tcMar>
          </w:tcPr>
          <w:p>
            <w:pPr>
              <w:spacing w:before="0" w:after="0" w:line="245" w:lineRule="auto"/>
            </w:pPr>
          </w:p>
        </w:tc>
        <w:tc>
          <w:tcPr>
            <w:tcW w:type="dxa" w:w="720"/>
            <w:vAlign w:val="center"/>
            <w:tcMar>
              <w:top w:w="80" w:type="dxa"/>
              <w:start w:w="120" w:type="dxa"/>
              <w:bottom w:w="80" w:type="dxa"/>
              <w:end w:w="120" w:type="dxa"/>
            </w:tcMar>
          </w:tcPr>
          <w:p>
            <w:pPr>
              <w:spacing w:before="0" w:after="0" w:line="245" w:lineRule="auto"/>
            </w:pPr>
          </w:p>
        </w:tc>
        <w:tc>
          <w:tcPr>
            <w:tcW w:type="dxa" w:w="720"/>
            <w:vAlign w:val="center"/>
            <w:tcMar>
              <w:top w:w="80" w:type="dxa"/>
              <w:start w:w="120" w:type="dxa"/>
              <w:bottom w:w="80" w:type="dxa"/>
              <w:end w:w="120" w:type="dxa"/>
            </w:tcMar>
          </w:tcPr>
          <w:p>
            <w:pPr>
              <w:spacing w:before="0" w:after="0" w:line="245" w:lineRule="auto"/>
            </w:pPr>
          </w:p>
        </w:tc>
        <w:tc>
          <w:tcPr>
            <w:tcW w:type="dxa" w:w="720"/>
            <w:vAlign w:val="center"/>
            <w:tcMar>
              <w:top w:w="80" w:type="dxa"/>
              <w:start w:w="120" w:type="dxa"/>
              <w:bottom w:w="80" w:type="dxa"/>
              <w:end w:w="120" w:type="dxa"/>
            </w:tcMar>
          </w:tcPr>
          <w:p>
            <w:pPr>
              <w:spacing w:before="0" w:after="0" w:line="245" w:lineRule="auto"/>
            </w:pPr>
          </w:p>
        </w:tc>
        <w:tc>
          <w:tcPr>
            <w:tcW w:type="dxa" w:w="720"/>
            <w:vAlign w:val="center"/>
            <w:tcMar>
              <w:top w:w="80" w:type="dxa"/>
              <w:start w:w="120" w:type="dxa"/>
              <w:bottom w:w="80" w:type="dxa"/>
              <w:end w:w="120" w:type="dxa"/>
            </w:tcMar>
          </w:tcPr>
          <w:p>
            <w:pPr>
              <w:spacing w:before="0" w:after="0" w:line="245" w:lineRule="auto"/>
            </w:pPr>
          </w:p>
        </w:tc>
      </w:tr>
      <w:tr>
        <w:trPr>
          <w:cantSplit/>
        </w:trPr>
        <w:tc>
          <w:tcPr>
            <w:tcW w:type="dxa" w:w="335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Kütle dengesi yöntemi</w:t>
            </w:r>
          </w:p>
        </w:tc>
        <w:tc>
          <w:tcPr>
            <w:tcW w:type="dxa" w:w="362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Giren ve çıkan her bir malzeme [t]</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7.5</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5</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2.5</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1.5</w:t>
            </w:r>
          </w:p>
        </w:tc>
      </w:tr>
      <w:tr>
        <w:trPr>
          <w:cantSplit/>
        </w:trPr>
        <w:tc>
          <w:tcPr>
            <w:tcW w:type="dxa" w:w="3356"/>
            <w:vAlign w:val="center"/>
            <w:shd w:fill="ECF6EF"/>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0D5F31"/>
                <w:sz w:val="14"/>
              </w:rPr>
              <w:t>Metal cevherinin kavrulması &amp; sinterlenmesi</w:t>
            </w:r>
          </w:p>
        </w:tc>
        <w:tc>
          <w:tcPr>
            <w:tcW w:type="dxa" w:w="3628"/>
            <w:vAlign w:val="center"/>
            <w:tcMar>
              <w:top w:w="80" w:type="dxa"/>
              <w:start w:w="120" w:type="dxa"/>
              <w:bottom w:w="80" w:type="dxa"/>
              <w:end w:w="120" w:type="dxa"/>
            </w:tcMar>
          </w:tcPr>
          <w:p>
            <w:pPr>
              <w:spacing w:before="0" w:after="0" w:line="245" w:lineRule="auto"/>
            </w:pPr>
          </w:p>
        </w:tc>
        <w:tc>
          <w:tcPr>
            <w:tcW w:type="dxa" w:w="720"/>
            <w:vAlign w:val="center"/>
            <w:tcMar>
              <w:top w:w="80" w:type="dxa"/>
              <w:start w:w="120" w:type="dxa"/>
              <w:bottom w:w="80" w:type="dxa"/>
              <w:end w:w="120" w:type="dxa"/>
            </w:tcMar>
          </w:tcPr>
          <w:p>
            <w:pPr>
              <w:spacing w:before="0" w:after="0" w:line="245" w:lineRule="auto"/>
            </w:pPr>
          </w:p>
        </w:tc>
        <w:tc>
          <w:tcPr>
            <w:tcW w:type="dxa" w:w="720"/>
            <w:vAlign w:val="center"/>
            <w:tcMar>
              <w:top w:w="80" w:type="dxa"/>
              <w:start w:w="120" w:type="dxa"/>
              <w:bottom w:w="80" w:type="dxa"/>
              <w:end w:w="120" w:type="dxa"/>
            </w:tcMar>
          </w:tcPr>
          <w:p>
            <w:pPr>
              <w:spacing w:before="0" w:after="0" w:line="245" w:lineRule="auto"/>
            </w:pPr>
          </w:p>
        </w:tc>
        <w:tc>
          <w:tcPr>
            <w:tcW w:type="dxa" w:w="720"/>
            <w:vAlign w:val="center"/>
            <w:tcMar>
              <w:top w:w="80" w:type="dxa"/>
              <w:start w:w="120" w:type="dxa"/>
              <w:bottom w:w="80" w:type="dxa"/>
              <w:end w:w="120" w:type="dxa"/>
            </w:tcMar>
          </w:tcPr>
          <w:p>
            <w:pPr>
              <w:spacing w:before="0" w:after="0" w:line="245" w:lineRule="auto"/>
            </w:pPr>
          </w:p>
        </w:tc>
        <w:tc>
          <w:tcPr>
            <w:tcW w:type="dxa" w:w="720"/>
            <w:vAlign w:val="center"/>
            <w:tcMar>
              <w:top w:w="80" w:type="dxa"/>
              <w:start w:w="120" w:type="dxa"/>
              <w:bottom w:w="80" w:type="dxa"/>
              <w:end w:w="120" w:type="dxa"/>
            </w:tcMar>
          </w:tcPr>
          <w:p>
            <w:pPr>
              <w:spacing w:before="0" w:after="0" w:line="245" w:lineRule="auto"/>
            </w:pPr>
          </w:p>
        </w:tc>
      </w:tr>
      <w:tr>
        <w:trPr>
          <w:cantSplit/>
        </w:trPr>
        <w:tc>
          <w:tcPr>
            <w:tcW w:type="dxa" w:w="335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Karbonat girişi</w:t>
            </w:r>
          </w:p>
        </w:tc>
        <w:tc>
          <w:tcPr>
            <w:tcW w:type="dxa" w:w="362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Karbonat giriş malzemesi ve proses kalıntıları [t]</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5</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2.5</w:t>
            </w:r>
          </w:p>
        </w:tc>
        <w:tc>
          <w:tcPr>
            <w:tcW w:type="dxa" w:w="720"/>
            <w:vAlign w:val="center"/>
            <w:tcMar>
              <w:top w:w="80" w:type="dxa"/>
              <w:start w:w="120" w:type="dxa"/>
              <w:bottom w:w="80" w:type="dxa"/>
              <w:end w:w="120" w:type="dxa"/>
            </w:tcMar>
          </w:tcPr>
          <w:p>
            <w:pPr>
              <w:spacing w:before="0" w:after="0" w:line="245" w:lineRule="auto"/>
            </w:pPr>
          </w:p>
        </w:tc>
        <w:tc>
          <w:tcPr>
            <w:tcW w:type="dxa" w:w="720"/>
            <w:vAlign w:val="center"/>
            <w:tcMar>
              <w:top w:w="80" w:type="dxa"/>
              <w:start w:w="120" w:type="dxa"/>
              <w:bottom w:w="80" w:type="dxa"/>
              <w:end w:w="120" w:type="dxa"/>
            </w:tcMar>
          </w:tcPr>
          <w:p>
            <w:pPr>
              <w:spacing w:before="0" w:after="0" w:line="245" w:lineRule="auto"/>
            </w:pPr>
          </w:p>
        </w:tc>
      </w:tr>
      <w:tr>
        <w:trPr>
          <w:cantSplit/>
        </w:trPr>
        <w:tc>
          <w:tcPr>
            <w:tcW w:type="dxa" w:w="335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Kütle dengesi yöntemi</w:t>
            </w:r>
          </w:p>
        </w:tc>
        <w:tc>
          <w:tcPr>
            <w:tcW w:type="dxa" w:w="362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Her bir girdi ve çıktı malzemesi [t]</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7.5</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5</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2.5</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1.5</w:t>
            </w:r>
          </w:p>
        </w:tc>
      </w:tr>
      <w:tr>
        <w:trPr>
          <w:cantSplit/>
        </w:trPr>
        <w:tc>
          <w:tcPr>
            <w:tcW w:type="dxa" w:w="3356"/>
            <w:vAlign w:val="center"/>
            <w:shd w:fill="ECF6EF"/>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0D5F31"/>
                <w:sz w:val="14"/>
              </w:rPr>
              <w:t>Demir &amp; çelik üretimi</w:t>
            </w:r>
          </w:p>
        </w:tc>
        <w:tc>
          <w:tcPr>
            <w:tcW w:type="dxa" w:w="3628"/>
            <w:vAlign w:val="center"/>
            <w:tcMar>
              <w:top w:w="80" w:type="dxa"/>
              <w:start w:w="120" w:type="dxa"/>
              <w:bottom w:w="80" w:type="dxa"/>
              <w:end w:w="120" w:type="dxa"/>
            </w:tcMar>
          </w:tcPr>
          <w:p>
            <w:pPr>
              <w:spacing w:before="0" w:after="0" w:line="245" w:lineRule="auto"/>
            </w:pPr>
          </w:p>
        </w:tc>
        <w:tc>
          <w:tcPr>
            <w:tcW w:type="dxa" w:w="720"/>
            <w:vAlign w:val="center"/>
            <w:tcMar>
              <w:top w:w="80" w:type="dxa"/>
              <w:start w:w="120" w:type="dxa"/>
              <w:bottom w:w="80" w:type="dxa"/>
              <w:end w:w="120" w:type="dxa"/>
            </w:tcMar>
          </w:tcPr>
          <w:p>
            <w:pPr>
              <w:spacing w:before="0" w:after="0" w:line="245" w:lineRule="auto"/>
            </w:pPr>
          </w:p>
        </w:tc>
        <w:tc>
          <w:tcPr>
            <w:tcW w:type="dxa" w:w="720"/>
            <w:vAlign w:val="center"/>
            <w:tcMar>
              <w:top w:w="80" w:type="dxa"/>
              <w:start w:w="120" w:type="dxa"/>
              <w:bottom w:w="80" w:type="dxa"/>
              <w:end w:w="120" w:type="dxa"/>
            </w:tcMar>
          </w:tcPr>
          <w:p>
            <w:pPr>
              <w:spacing w:before="0" w:after="0" w:line="245" w:lineRule="auto"/>
            </w:pPr>
          </w:p>
        </w:tc>
        <w:tc>
          <w:tcPr>
            <w:tcW w:type="dxa" w:w="720"/>
            <w:vAlign w:val="center"/>
            <w:tcMar>
              <w:top w:w="80" w:type="dxa"/>
              <w:start w:w="120" w:type="dxa"/>
              <w:bottom w:w="80" w:type="dxa"/>
              <w:end w:w="120" w:type="dxa"/>
            </w:tcMar>
          </w:tcPr>
          <w:p>
            <w:pPr>
              <w:spacing w:before="0" w:after="0" w:line="245" w:lineRule="auto"/>
            </w:pPr>
          </w:p>
        </w:tc>
        <w:tc>
          <w:tcPr>
            <w:tcW w:type="dxa" w:w="720"/>
            <w:vAlign w:val="center"/>
            <w:tcMar>
              <w:top w:w="80" w:type="dxa"/>
              <w:start w:w="120" w:type="dxa"/>
              <w:bottom w:w="80" w:type="dxa"/>
              <w:end w:w="120" w:type="dxa"/>
            </w:tcMar>
          </w:tcPr>
          <w:p>
            <w:pPr>
              <w:spacing w:before="0" w:after="0" w:line="245" w:lineRule="auto"/>
            </w:pPr>
          </w:p>
        </w:tc>
      </w:tr>
      <w:tr>
        <w:trPr>
          <w:cantSplit/>
        </w:trPr>
        <w:tc>
          <w:tcPr>
            <w:tcW w:type="dxa" w:w="335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Proses girdisi olarak yakıt</w:t>
            </w:r>
          </w:p>
        </w:tc>
        <w:tc>
          <w:tcPr>
            <w:tcW w:type="dxa" w:w="362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Tesise giren ve tesisten çıkan her kütle akışı [t]</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7.5</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5</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2.5</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1.5</w:t>
            </w:r>
          </w:p>
        </w:tc>
      </w:tr>
      <w:tr>
        <w:trPr>
          <w:cantSplit/>
        </w:trPr>
        <w:tc>
          <w:tcPr>
            <w:tcW w:type="dxa" w:w="335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Kütle dengesi yöntemi</w:t>
            </w:r>
          </w:p>
        </w:tc>
        <w:tc>
          <w:tcPr>
            <w:tcW w:type="dxa" w:w="362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Her bir girdi ve çıktı malzemesi [t]</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7.5</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5</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2.5</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1.5</w:t>
            </w:r>
          </w:p>
        </w:tc>
      </w:tr>
      <w:tr>
        <w:trPr>
          <w:cantSplit/>
        </w:trPr>
        <w:tc>
          <w:tcPr>
            <w:tcW w:type="dxa" w:w="3356"/>
            <w:vAlign w:val="center"/>
            <w:shd w:fill="ECF6EF"/>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0D5F31"/>
                <w:sz w:val="14"/>
              </w:rPr>
              <w:t>Çimento klinkerinin üretimi</w:t>
            </w:r>
          </w:p>
        </w:tc>
        <w:tc>
          <w:tcPr>
            <w:tcW w:type="dxa" w:w="3628"/>
            <w:vAlign w:val="center"/>
            <w:tcMar>
              <w:top w:w="80" w:type="dxa"/>
              <w:start w:w="120" w:type="dxa"/>
              <w:bottom w:w="80" w:type="dxa"/>
              <w:end w:w="120" w:type="dxa"/>
            </w:tcMar>
          </w:tcPr>
          <w:p>
            <w:pPr>
              <w:spacing w:before="0" w:after="0" w:line="245" w:lineRule="auto"/>
            </w:pPr>
          </w:p>
        </w:tc>
        <w:tc>
          <w:tcPr>
            <w:tcW w:type="dxa" w:w="720"/>
            <w:vAlign w:val="center"/>
            <w:tcMar>
              <w:top w:w="80" w:type="dxa"/>
              <w:start w:w="120" w:type="dxa"/>
              <w:bottom w:w="80" w:type="dxa"/>
              <w:end w:w="120" w:type="dxa"/>
            </w:tcMar>
          </w:tcPr>
          <w:p>
            <w:pPr>
              <w:spacing w:before="0" w:after="0" w:line="245" w:lineRule="auto"/>
            </w:pPr>
          </w:p>
        </w:tc>
        <w:tc>
          <w:tcPr>
            <w:tcW w:type="dxa" w:w="720"/>
            <w:vAlign w:val="center"/>
            <w:tcMar>
              <w:top w:w="80" w:type="dxa"/>
              <w:start w:w="120" w:type="dxa"/>
              <w:bottom w:w="80" w:type="dxa"/>
              <w:end w:w="120" w:type="dxa"/>
            </w:tcMar>
          </w:tcPr>
          <w:p>
            <w:pPr>
              <w:spacing w:before="0" w:after="0" w:line="245" w:lineRule="auto"/>
            </w:pPr>
          </w:p>
        </w:tc>
        <w:tc>
          <w:tcPr>
            <w:tcW w:type="dxa" w:w="720"/>
            <w:vAlign w:val="center"/>
            <w:tcMar>
              <w:top w:w="80" w:type="dxa"/>
              <w:start w:w="120" w:type="dxa"/>
              <w:bottom w:w="80" w:type="dxa"/>
              <w:end w:w="120" w:type="dxa"/>
            </w:tcMar>
          </w:tcPr>
          <w:p>
            <w:pPr>
              <w:spacing w:before="0" w:after="0" w:line="245" w:lineRule="auto"/>
            </w:pPr>
          </w:p>
        </w:tc>
        <w:tc>
          <w:tcPr>
            <w:tcW w:type="dxa" w:w="720"/>
            <w:vAlign w:val="center"/>
            <w:tcMar>
              <w:top w:w="80" w:type="dxa"/>
              <w:start w:w="120" w:type="dxa"/>
              <w:bottom w:w="80" w:type="dxa"/>
              <w:end w:w="120" w:type="dxa"/>
            </w:tcMar>
          </w:tcPr>
          <w:p>
            <w:pPr>
              <w:spacing w:before="0" w:after="0" w:line="245" w:lineRule="auto"/>
            </w:pPr>
          </w:p>
        </w:tc>
      </w:tr>
      <w:tr>
        <w:trPr>
          <w:cantSplit/>
        </w:trPr>
        <w:tc>
          <w:tcPr>
            <w:tcW w:type="dxa" w:w="335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Girdi bazlı fırın (Yöntem A)</w:t>
            </w:r>
          </w:p>
        </w:tc>
        <w:tc>
          <w:tcPr>
            <w:tcW w:type="dxa" w:w="362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İlgili her bir fırın girdisi [t]</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7.5</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5</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2.5</w:t>
            </w:r>
          </w:p>
        </w:tc>
        <w:tc>
          <w:tcPr>
            <w:tcW w:type="dxa" w:w="720"/>
            <w:vAlign w:val="center"/>
            <w:tcMar>
              <w:top w:w="80" w:type="dxa"/>
              <w:start w:w="120" w:type="dxa"/>
              <w:bottom w:w="80" w:type="dxa"/>
              <w:end w:w="120" w:type="dxa"/>
            </w:tcMar>
          </w:tcPr>
          <w:p>
            <w:pPr>
              <w:spacing w:before="0" w:after="0" w:line="245" w:lineRule="auto"/>
            </w:pPr>
          </w:p>
        </w:tc>
      </w:tr>
      <w:tr>
        <w:trPr>
          <w:cantSplit/>
        </w:trPr>
        <w:tc>
          <w:tcPr>
            <w:tcW w:type="dxa" w:w="335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Klinker çıktısı (Yöntem B)</w:t>
            </w:r>
          </w:p>
        </w:tc>
        <w:tc>
          <w:tcPr>
            <w:tcW w:type="dxa" w:w="362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Üretilen klinker [t]</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5</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2.5</w:t>
            </w:r>
          </w:p>
        </w:tc>
        <w:tc>
          <w:tcPr>
            <w:tcW w:type="dxa" w:w="720"/>
            <w:vAlign w:val="center"/>
            <w:tcMar>
              <w:top w:w="80" w:type="dxa"/>
              <w:start w:w="120" w:type="dxa"/>
              <w:bottom w:w="80" w:type="dxa"/>
              <w:end w:w="120" w:type="dxa"/>
            </w:tcMar>
          </w:tcPr>
          <w:p>
            <w:pPr>
              <w:spacing w:before="0" w:after="0" w:line="245" w:lineRule="auto"/>
            </w:pPr>
          </w:p>
        </w:tc>
        <w:tc>
          <w:tcPr>
            <w:tcW w:type="dxa" w:w="720"/>
            <w:vAlign w:val="center"/>
            <w:tcMar>
              <w:top w:w="80" w:type="dxa"/>
              <w:start w:w="120" w:type="dxa"/>
              <w:bottom w:w="80" w:type="dxa"/>
              <w:end w:w="120" w:type="dxa"/>
            </w:tcMar>
          </w:tcPr>
          <w:p>
            <w:pPr>
              <w:spacing w:before="0" w:after="0" w:line="245" w:lineRule="auto"/>
            </w:pPr>
          </w:p>
        </w:tc>
      </w:tr>
      <w:tr>
        <w:trPr>
          <w:cantSplit/>
        </w:trPr>
        <w:tc>
          <w:tcPr>
            <w:tcW w:type="dxa" w:w="335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CKD (Çimento Fırın Tozu)</w:t>
            </w:r>
          </w:p>
        </w:tc>
        <w:tc>
          <w:tcPr>
            <w:tcW w:type="dxa" w:w="362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CKD veya bypass tozu [t]</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7.5</w:t>
            </w:r>
          </w:p>
        </w:tc>
        <w:tc>
          <w:tcPr>
            <w:tcW w:type="dxa" w:w="720"/>
            <w:vAlign w:val="center"/>
            <w:tcMar>
              <w:top w:w="80" w:type="dxa"/>
              <w:start w:w="120" w:type="dxa"/>
              <w:bottom w:w="80" w:type="dxa"/>
              <w:end w:w="120" w:type="dxa"/>
            </w:tcMar>
          </w:tcPr>
          <w:p>
            <w:pPr>
              <w:spacing w:before="0" w:after="0" w:line="245" w:lineRule="auto"/>
            </w:pPr>
          </w:p>
        </w:tc>
        <w:tc>
          <w:tcPr>
            <w:tcW w:type="dxa" w:w="720"/>
            <w:vAlign w:val="center"/>
            <w:tcMar>
              <w:top w:w="80" w:type="dxa"/>
              <w:start w:w="120" w:type="dxa"/>
              <w:bottom w:w="80" w:type="dxa"/>
              <w:end w:w="120" w:type="dxa"/>
            </w:tcMar>
          </w:tcPr>
          <w:p>
            <w:pPr>
              <w:spacing w:before="0" w:after="0" w:line="245" w:lineRule="auto"/>
            </w:pPr>
          </w:p>
        </w:tc>
      </w:tr>
      <w:tr>
        <w:trPr>
          <w:cantSplit/>
        </w:trPr>
        <w:tc>
          <w:tcPr>
            <w:tcW w:type="dxa" w:w="335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Karbonat dışı karbon</w:t>
            </w:r>
          </w:p>
        </w:tc>
        <w:tc>
          <w:tcPr>
            <w:tcW w:type="dxa" w:w="362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Her bir hammadde [t]</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15 %</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7.5</w:t>
            </w:r>
          </w:p>
        </w:tc>
        <w:tc>
          <w:tcPr>
            <w:tcW w:type="dxa" w:w="720"/>
            <w:vAlign w:val="center"/>
            <w:tcMar>
              <w:top w:w="80" w:type="dxa"/>
              <w:start w:w="120" w:type="dxa"/>
              <w:bottom w:w="80" w:type="dxa"/>
              <w:end w:w="120" w:type="dxa"/>
            </w:tcMar>
          </w:tcPr>
          <w:p>
            <w:pPr>
              <w:spacing w:before="0" w:after="0" w:line="245" w:lineRule="auto"/>
            </w:pPr>
          </w:p>
        </w:tc>
        <w:tc>
          <w:tcPr>
            <w:tcW w:type="dxa" w:w="720"/>
            <w:vAlign w:val="center"/>
            <w:tcMar>
              <w:top w:w="80" w:type="dxa"/>
              <w:start w:w="120" w:type="dxa"/>
              <w:bottom w:w="80" w:type="dxa"/>
              <w:end w:w="120" w:type="dxa"/>
            </w:tcMar>
          </w:tcPr>
          <w:p>
            <w:pPr>
              <w:spacing w:before="0" w:after="0" w:line="245" w:lineRule="auto"/>
            </w:pPr>
          </w:p>
        </w:tc>
      </w:tr>
      <w:tr>
        <w:trPr>
          <w:cantSplit/>
        </w:trPr>
        <w:tc>
          <w:tcPr>
            <w:tcW w:type="dxa" w:w="3356"/>
            <w:vAlign w:val="center"/>
            <w:shd w:fill="ECF6EF"/>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0D5F31"/>
                <w:sz w:val="14"/>
              </w:rPr>
              <w:t>Kireç üretimi ve dolomit ve magnezit kalsinasyonu</w:t>
            </w:r>
          </w:p>
        </w:tc>
        <w:tc>
          <w:tcPr>
            <w:tcW w:type="dxa" w:w="3628"/>
            <w:vAlign w:val="center"/>
            <w:tcMar>
              <w:top w:w="80" w:type="dxa"/>
              <w:start w:w="120" w:type="dxa"/>
              <w:bottom w:w="80" w:type="dxa"/>
              <w:end w:w="120" w:type="dxa"/>
            </w:tcMar>
          </w:tcPr>
          <w:p>
            <w:pPr>
              <w:spacing w:before="0" w:after="0" w:line="245" w:lineRule="auto"/>
            </w:pPr>
          </w:p>
        </w:tc>
        <w:tc>
          <w:tcPr>
            <w:tcW w:type="dxa" w:w="720"/>
            <w:vAlign w:val="center"/>
            <w:tcMar>
              <w:top w:w="80" w:type="dxa"/>
              <w:start w:w="120" w:type="dxa"/>
              <w:bottom w:w="80" w:type="dxa"/>
              <w:end w:w="120" w:type="dxa"/>
            </w:tcMar>
          </w:tcPr>
          <w:p>
            <w:pPr>
              <w:spacing w:before="0" w:after="0" w:line="245" w:lineRule="auto"/>
            </w:pPr>
          </w:p>
        </w:tc>
        <w:tc>
          <w:tcPr>
            <w:tcW w:type="dxa" w:w="720"/>
            <w:vAlign w:val="center"/>
            <w:tcMar>
              <w:top w:w="80" w:type="dxa"/>
              <w:start w:w="120" w:type="dxa"/>
              <w:bottom w:w="80" w:type="dxa"/>
              <w:end w:w="120" w:type="dxa"/>
            </w:tcMar>
          </w:tcPr>
          <w:p>
            <w:pPr>
              <w:spacing w:before="0" w:after="0" w:line="245" w:lineRule="auto"/>
            </w:pPr>
          </w:p>
        </w:tc>
        <w:tc>
          <w:tcPr>
            <w:tcW w:type="dxa" w:w="720"/>
            <w:vAlign w:val="center"/>
            <w:tcMar>
              <w:top w:w="80" w:type="dxa"/>
              <w:start w:w="120" w:type="dxa"/>
              <w:bottom w:w="80" w:type="dxa"/>
              <w:end w:w="120" w:type="dxa"/>
            </w:tcMar>
          </w:tcPr>
          <w:p>
            <w:pPr>
              <w:spacing w:before="0" w:after="0" w:line="245" w:lineRule="auto"/>
            </w:pPr>
          </w:p>
        </w:tc>
        <w:tc>
          <w:tcPr>
            <w:tcW w:type="dxa" w:w="720"/>
            <w:vAlign w:val="center"/>
            <w:tcMar>
              <w:top w:w="80" w:type="dxa"/>
              <w:start w:w="120" w:type="dxa"/>
              <w:bottom w:w="80" w:type="dxa"/>
              <w:end w:w="120" w:type="dxa"/>
            </w:tcMar>
          </w:tcPr>
          <w:p>
            <w:pPr>
              <w:spacing w:before="0" w:after="0" w:line="245" w:lineRule="auto"/>
            </w:pPr>
          </w:p>
        </w:tc>
      </w:tr>
      <w:tr>
        <w:trPr>
          <w:cantSplit/>
        </w:trPr>
        <w:tc>
          <w:tcPr>
            <w:tcW w:type="dxa" w:w="335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Karbonatlar (Yöntem A)</w:t>
            </w:r>
          </w:p>
        </w:tc>
        <w:tc>
          <w:tcPr>
            <w:tcW w:type="dxa" w:w="362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İlgili her bir fırın girdisi [t]</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7.5</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5</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2.5</w:t>
            </w:r>
          </w:p>
        </w:tc>
        <w:tc>
          <w:tcPr>
            <w:tcW w:type="dxa" w:w="720"/>
            <w:vAlign w:val="center"/>
            <w:tcMar>
              <w:top w:w="80" w:type="dxa"/>
              <w:start w:w="120" w:type="dxa"/>
              <w:bottom w:w="80" w:type="dxa"/>
              <w:end w:w="120" w:type="dxa"/>
            </w:tcMar>
          </w:tcPr>
          <w:p>
            <w:pPr>
              <w:spacing w:before="0" w:after="0" w:line="245" w:lineRule="auto"/>
            </w:pPr>
          </w:p>
        </w:tc>
      </w:tr>
      <w:tr>
        <w:trPr>
          <w:cantSplit/>
        </w:trPr>
        <w:tc>
          <w:tcPr>
            <w:tcW w:type="dxa" w:w="335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Toprak alkali oksit (Yöntem B)</w:t>
            </w:r>
          </w:p>
        </w:tc>
        <w:tc>
          <w:tcPr>
            <w:tcW w:type="dxa" w:w="362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Üretilen kireç [t]</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5</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2.5</w:t>
            </w:r>
          </w:p>
        </w:tc>
        <w:tc>
          <w:tcPr>
            <w:tcW w:type="dxa" w:w="720"/>
            <w:vAlign w:val="center"/>
            <w:tcMar>
              <w:top w:w="80" w:type="dxa"/>
              <w:start w:w="120" w:type="dxa"/>
              <w:bottom w:w="80" w:type="dxa"/>
              <w:end w:w="120" w:type="dxa"/>
            </w:tcMar>
          </w:tcPr>
          <w:p>
            <w:pPr>
              <w:spacing w:before="0" w:after="0" w:line="245" w:lineRule="auto"/>
            </w:pPr>
          </w:p>
        </w:tc>
        <w:tc>
          <w:tcPr>
            <w:tcW w:type="dxa" w:w="720"/>
            <w:vAlign w:val="center"/>
            <w:tcMar>
              <w:top w:w="80" w:type="dxa"/>
              <w:start w:w="120" w:type="dxa"/>
              <w:bottom w:w="80" w:type="dxa"/>
              <w:end w:w="120" w:type="dxa"/>
            </w:tcMar>
          </w:tcPr>
          <w:p>
            <w:pPr>
              <w:spacing w:before="0" w:after="0" w:line="245" w:lineRule="auto"/>
            </w:pPr>
          </w:p>
        </w:tc>
      </w:tr>
      <w:tr>
        <w:trPr>
          <w:cantSplit/>
        </w:trPr>
        <w:tc>
          <w:tcPr>
            <w:tcW w:type="dxa" w:w="335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Fırın tozu (Yöntem B)</w:t>
            </w:r>
          </w:p>
        </w:tc>
        <w:tc>
          <w:tcPr>
            <w:tcW w:type="dxa" w:w="362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Fırın tozu [t]</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7.5</w:t>
            </w:r>
          </w:p>
        </w:tc>
        <w:tc>
          <w:tcPr>
            <w:tcW w:type="dxa" w:w="720"/>
            <w:vAlign w:val="center"/>
            <w:tcMar>
              <w:top w:w="80" w:type="dxa"/>
              <w:start w:w="120" w:type="dxa"/>
              <w:bottom w:w="80" w:type="dxa"/>
              <w:end w:w="120" w:type="dxa"/>
            </w:tcMar>
          </w:tcPr>
          <w:p>
            <w:pPr>
              <w:spacing w:before="0" w:after="0" w:line="245" w:lineRule="auto"/>
            </w:pPr>
          </w:p>
        </w:tc>
        <w:tc>
          <w:tcPr>
            <w:tcW w:type="dxa" w:w="720"/>
            <w:vAlign w:val="center"/>
            <w:tcMar>
              <w:top w:w="80" w:type="dxa"/>
              <w:start w:w="120" w:type="dxa"/>
              <w:bottom w:w="80" w:type="dxa"/>
              <w:end w:w="120" w:type="dxa"/>
            </w:tcMar>
          </w:tcPr>
          <w:p>
            <w:pPr>
              <w:spacing w:before="0" w:after="0" w:line="245" w:lineRule="auto"/>
            </w:pPr>
          </w:p>
        </w:tc>
      </w:tr>
    </w:tbl>
    <w:tbl>
      <w:tblPr>
        <w:tblStyle w:val="TableGrid"/>
        <w:tblW w:type="dxa" w:w="9864"/>
        <w:jc w:val="left"/>
        <w:tblLayout w:type="fixed"/>
        <w:tblLook w:firstColumn="1" w:firstRow="1" w:lastColumn="0" w:lastRow="0" w:noHBand="0" w:noVBand="1" w:val="04A0"/>
        <w:tblInd w:w="120" w:type="dxa"/>
      </w:tblPr>
      <w:tblGrid>
        <w:gridCol w:w="3311"/>
        <w:gridCol w:w="3673"/>
        <w:gridCol w:w="720"/>
        <w:gridCol w:w="720"/>
        <w:gridCol w:w="720"/>
        <w:gridCol w:w="720"/>
      </w:tblGrid>
      <w:tr>
        <w:trPr>
          <w:tblHeader/>
          <w:cantSplit/>
        </w:trPr>
        <w:tc>
          <w:tcPr>
            <w:tcW w:type="dxa" w:w="3311"/>
            <w:vAlign w:val="center"/>
            <w:shd w:fill="0D5F31"/>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FFFFFF"/>
                <w:sz w:val="14"/>
              </w:rPr>
              <w:t>Cam ve cam yünü üretimi</w:t>
            </w:r>
          </w:p>
        </w:tc>
        <w:tc>
          <w:tcPr>
            <w:tcW w:type="dxa" w:w="3673"/>
            <w:vAlign w:val="center"/>
            <w:shd w:fill="0D5F31"/>
            <w:tcMar>
              <w:top w:w="80" w:type="dxa"/>
              <w:start w:w="120" w:type="dxa"/>
              <w:bottom w:w="80" w:type="dxa"/>
              <w:end w:w="120" w:type="dxa"/>
            </w:tcMar>
          </w:tcPr>
          <w:p>
            <w:pPr>
              <w:spacing w:before="0" w:after="0" w:line="245" w:lineRule="auto"/>
              <w:jc w:val="center"/>
            </w:pPr>
          </w:p>
        </w:tc>
        <w:tc>
          <w:tcPr>
            <w:tcW w:type="dxa" w:w="720"/>
            <w:vAlign w:val="center"/>
            <w:shd w:fill="0D5F31"/>
            <w:tcMar>
              <w:top w:w="80" w:type="dxa"/>
              <w:start w:w="120" w:type="dxa"/>
              <w:bottom w:w="80" w:type="dxa"/>
              <w:end w:w="120" w:type="dxa"/>
            </w:tcMar>
          </w:tcPr>
          <w:p>
            <w:pPr>
              <w:spacing w:before="0" w:after="0" w:line="245" w:lineRule="auto"/>
              <w:jc w:val="center"/>
            </w:pPr>
          </w:p>
        </w:tc>
        <w:tc>
          <w:tcPr>
            <w:tcW w:type="dxa" w:w="720"/>
            <w:vAlign w:val="center"/>
            <w:shd w:fill="0D5F31"/>
            <w:tcMar>
              <w:top w:w="80" w:type="dxa"/>
              <w:start w:w="120" w:type="dxa"/>
              <w:bottom w:w="80" w:type="dxa"/>
              <w:end w:w="120" w:type="dxa"/>
            </w:tcMar>
          </w:tcPr>
          <w:p>
            <w:pPr>
              <w:spacing w:before="0" w:after="0" w:line="245" w:lineRule="auto"/>
              <w:jc w:val="center"/>
            </w:pPr>
          </w:p>
        </w:tc>
        <w:tc>
          <w:tcPr>
            <w:tcW w:type="dxa" w:w="720"/>
            <w:vAlign w:val="center"/>
            <w:shd w:fill="0D5F31"/>
            <w:tcMar>
              <w:top w:w="80" w:type="dxa"/>
              <w:start w:w="120" w:type="dxa"/>
              <w:bottom w:w="80" w:type="dxa"/>
              <w:end w:w="120" w:type="dxa"/>
            </w:tcMar>
          </w:tcPr>
          <w:p>
            <w:pPr>
              <w:spacing w:before="0" w:after="0" w:line="245" w:lineRule="auto"/>
              <w:jc w:val="center"/>
            </w:pPr>
          </w:p>
        </w:tc>
        <w:tc>
          <w:tcPr>
            <w:tcW w:type="dxa" w:w="720"/>
            <w:vAlign w:val="center"/>
            <w:shd w:fill="0D5F31"/>
            <w:tcMar>
              <w:top w:w="80" w:type="dxa"/>
              <w:start w:w="120" w:type="dxa"/>
              <w:bottom w:w="80" w:type="dxa"/>
              <w:end w:w="120" w:type="dxa"/>
            </w:tcMar>
          </w:tcPr>
          <w:p>
            <w:pPr>
              <w:spacing w:before="0" w:after="0" w:line="245" w:lineRule="auto"/>
              <w:jc w:val="center"/>
            </w:pPr>
          </w:p>
        </w:tc>
      </w:tr>
      <w:tr>
        <w:trPr>
          <w:cantSplit/>
        </w:trPr>
        <w:tc>
          <w:tcPr>
            <w:tcW w:type="dxa" w:w="3311"/>
            <w:vAlign w:val="center"/>
            <w:shd w:fill="ECF6EF"/>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0D5F31"/>
                <w:sz w:val="14"/>
              </w:rPr>
              <w:t>Karbonatlar (girdi)</w:t>
            </w:r>
          </w:p>
        </w:tc>
        <w:tc>
          <w:tcPr>
            <w:tcW w:type="dxa" w:w="3673"/>
            <w:vAlign w:val="center"/>
            <w:shd w:fill="ECF6EF"/>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0D5F31"/>
                <w:sz w:val="14"/>
              </w:rPr>
              <w:t>CO emisyonları ile 2 bağlantılı her bir karbonatlı hammadde veya katkı maddesi [t]</w:t>
            </w:r>
          </w:p>
        </w:tc>
        <w:tc>
          <w:tcPr>
            <w:tcW w:type="dxa" w:w="720"/>
            <w:vAlign w:val="center"/>
            <w:shd w:fill="ECF6EF"/>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0D5F31"/>
                <w:sz w:val="14"/>
              </w:rPr>
              <w:t>± % 2.5</w:t>
            </w:r>
          </w:p>
        </w:tc>
        <w:tc>
          <w:tcPr>
            <w:tcW w:type="dxa" w:w="720"/>
            <w:vAlign w:val="center"/>
            <w:shd w:fill="ECF6EF"/>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0D5F31"/>
                <w:sz w:val="14"/>
              </w:rPr>
              <w:t>± % 1.5</w:t>
            </w:r>
          </w:p>
        </w:tc>
        <w:tc>
          <w:tcPr>
            <w:tcW w:type="dxa" w:w="720"/>
            <w:vAlign w:val="center"/>
            <w:shd w:fill="ECF6EF"/>
            <w:tcMar>
              <w:top w:w="80" w:type="dxa"/>
              <w:start w:w="120" w:type="dxa"/>
              <w:bottom w:w="80" w:type="dxa"/>
              <w:end w:w="120" w:type="dxa"/>
            </w:tcMar>
          </w:tcPr>
          <w:p>
            <w:pPr>
              <w:spacing w:before="0" w:after="0" w:line="245" w:lineRule="auto"/>
              <w:jc w:val="center"/>
            </w:pPr>
          </w:p>
        </w:tc>
        <w:tc>
          <w:tcPr>
            <w:tcW w:type="dxa" w:w="720"/>
            <w:vAlign w:val="center"/>
            <w:shd w:fill="ECF6EF"/>
            <w:tcMar>
              <w:top w:w="80" w:type="dxa"/>
              <w:start w:w="120" w:type="dxa"/>
              <w:bottom w:w="80" w:type="dxa"/>
              <w:end w:w="120" w:type="dxa"/>
            </w:tcMar>
          </w:tcPr>
          <w:p>
            <w:pPr>
              <w:spacing w:before="0" w:after="0" w:line="245" w:lineRule="auto"/>
              <w:jc w:val="center"/>
            </w:pPr>
          </w:p>
        </w:tc>
      </w:tr>
      <w:tr>
        <w:trPr>
          <w:cantSplit/>
        </w:trPr>
        <w:tc>
          <w:tcPr>
            <w:tcW w:type="dxa" w:w="331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Faaliyet/kaynak akışı tipi</w:t>
            </w:r>
          </w:p>
        </w:tc>
        <w:tc>
          <w:tcPr>
            <w:tcW w:type="dxa" w:w="3673"/>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Belirsizliğin uygulanacağı parametre</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Kademe 1</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Kademe 2</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Kademe 3</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Kademe 4</w:t>
            </w:r>
          </w:p>
        </w:tc>
      </w:tr>
      <w:tr>
        <w:trPr>
          <w:cantSplit/>
        </w:trPr>
        <w:tc>
          <w:tcPr>
            <w:tcW w:type="dxa" w:w="3311"/>
            <w:vAlign w:val="center"/>
            <w:shd w:fill="ECF6EF"/>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0D5F31"/>
                <w:sz w:val="14"/>
              </w:rPr>
              <w:t>Seramik ürünlerin üretimi</w:t>
            </w:r>
          </w:p>
        </w:tc>
        <w:tc>
          <w:tcPr>
            <w:tcW w:type="dxa" w:w="3673"/>
            <w:vAlign w:val="center"/>
            <w:tcMar>
              <w:top w:w="80" w:type="dxa"/>
              <w:start w:w="120" w:type="dxa"/>
              <w:bottom w:w="80" w:type="dxa"/>
              <w:end w:w="120" w:type="dxa"/>
            </w:tcMar>
          </w:tcPr>
          <w:p>
            <w:pPr>
              <w:spacing w:before="0" w:after="0" w:line="245" w:lineRule="auto"/>
            </w:pPr>
          </w:p>
        </w:tc>
        <w:tc>
          <w:tcPr>
            <w:tcW w:type="dxa" w:w="720"/>
            <w:vAlign w:val="center"/>
            <w:tcMar>
              <w:top w:w="80" w:type="dxa"/>
              <w:start w:w="120" w:type="dxa"/>
              <w:bottom w:w="80" w:type="dxa"/>
              <w:end w:w="120" w:type="dxa"/>
            </w:tcMar>
          </w:tcPr>
          <w:p>
            <w:pPr>
              <w:spacing w:before="0" w:after="0" w:line="245" w:lineRule="auto"/>
            </w:pPr>
          </w:p>
        </w:tc>
        <w:tc>
          <w:tcPr>
            <w:tcW w:type="dxa" w:w="720"/>
            <w:vAlign w:val="center"/>
            <w:tcMar>
              <w:top w:w="80" w:type="dxa"/>
              <w:start w:w="120" w:type="dxa"/>
              <w:bottom w:w="80" w:type="dxa"/>
              <w:end w:w="120" w:type="dxa"/>
            </w:tcMar>
          </w:tcPr>
          <w:p>
            <w:pPr>
              <w:spacing w:before="0" w:after="0" w:line="245" w:lineRule="auto"/>
            </w:pPr>
          </w:p>
        </w:tc>
        <w:tc>
          <w:tcPr>
            <w:tcW w:type="dxa" w:w="720"/>
            <w:vAlign w:val="center"/>
            <w:tcMar>
              <w:top w:w="80" w:type="dxa"/>
              <w:start w:w="120" w:type="dxa"/>
              <w:bottom w:w="80" w:type="dxa"/>
              <w:end w:w="120" w:type="dxa"/>
            </w:tcMar>
          </w:tcPr>
          <w:p>
            <w:pPr>
              <w:spacing w:before="0" w:after="0" w:line="245" w:lineRule="auto"/>
            </w:pPr>
          </w:p>
        </w:tc>
        <w:tc>
          <w:tcPr>
            <w:tcW w:type="dxa" w:w="720"/>
            <w:vAlign w:val="center"/>
            <w:tcMar>
              <w:top w:w="80" w:type="dxa"/>
              <w:start w:w="120" w:type="dxa"/>
              <w:bottom w:w="80" w:type="dxa"/>
              <w:end w:w="120" w:type="dxa"/>
            </w:tcMar>
          </w:tcPr>
          <w:p>
            <w:pPr>
              <w:spacing w:before="0" w:after="0" w:line="245" w:lineRule="auto"/>
            </w:pPr>
          </w:p>
        </w:tc>
      </w:tr>
      <w:tr>
        <w:trPr>
          <w:cantSplit/>
        </w:trPr>
        <w:tc>
          <w:tcPr>
            <w:tcW w:type="dxa" w:w="331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Karbon girdileri (YöntemA)</w:t>
            </w:r>
          </w:p>
        </w:tc>
        <w:tc>
          <w:tcPr>
            <w:tcW w:type="dxa" w:w="3673"/>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CO emisyonları ile 2 bağlantılı her bir karbonat hammaddesi veya katkı maddeleri [t]</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7.5</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5</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2.5</w:t>
            </w:r>
          </w:p>
        </w:tc>
        <w:tc>
          <w:tcPr>
            <w:tcW w:type="dxa" w:w="720"/>
            <w:vAlign w:val="center"/>
            <w:tcMar>
              <w:top w:w="80" w:type="dxa"/>
              <w:start w:w="120" w:type="dxa"/>
              <w:bottom w:w="80" w:type="dxa"/>
              <w:end w:w="120" w:type="dxa"/>
            </w:tcMar>
          </w:tcPr>
          <w:p>
            <w:pPr>
              <w:spacing w:before="0" w:after="0" w:line="245" w:lineRule="auto"/>
            </w:pPr>
          </w:p>
        </w:tc>
      </w:tr>
      <w:tr>
        <w:trPr>
          <w:cantSplit/>
        </w:trPr>
        <w:tc>
          <w:tcPr>
            <w:tcW w:type="dxa" w:w="331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Alkali oksit (Yöntem B)</w:t>
            </w:r>
          </w:p>
        </w:tc>
        <w:tc>
          <w:tcPr>
            <w:tcW w:type="dxa" w:w="3673"/>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Reddedilen ürünler ile fırın ve nakliyat kaynaklı fireleri içeren toplam üretim [t]</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7.5</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5</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2.5</w:t>
            </w:r>
          </w:p>
        </w:tc>
        <w:tc>
          <w:tcPr>
            <w:tcW w:type="dxa" w:w="720"/>
            <w:vAlign w:val="center"/>
            <w:tcMar>
              <w:top w:w="80" w:type="dxa"/>
              <w:start w:w="120" w:type="dxa"/>
              <w:bottom w:w="80" w:type="dxa"/>
              <w:end w:w="120" w:type="dxa"/>
            </w:tcMar>
          </w:tcPr>
          <w:p>
            <w:pPr>
              <w:spacing w:before="0" w:after="0" w:line="245" w:lineRule="auto"/>
            </w:pPr>
          </w:p>
        </w:tc>
      </w:tr>
      <w:tr>
        <w:trPr>
          <w:cantSplit/>
        </w:trPr>
        <w:tc>
          <w:tcPr>
            <w:tcW w:type="dxa" w:w="331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Yıkama</w:t>
            </w:r>
          </w:p>
        </w:tc>
        <w:tc>
          <w:tcPr>
            <w:tcW w:type="dxa" w:w="3673"/>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Tüketilen kuru CaCO [t] 3</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7.5</w:t>
            </w:r>
          </w:p>
        </w:tc>
        <w:tc>
          <w:tcPr>
            <w:tcW w:type="dxa" w:w="720"/>
            <w:vAlign w:val="center"/>
            <w:tcMar>
              <w:top w:w="80" w:type="dxa"/>
              <w:start w:w="120" w:type="dxa"/>
              <w:bottom w:w="80" w:type="dxa"/>
              <w:end w:w="120" w:type="dxa"/>
            </w:tcMar>
          </w:tcPr>
          <w:p>
            <w:pPr>
              <w:spacing w:before="0" w:after="0" w:line="245" w:lineRule="auto"/>
            </w:pPr>
          </w:p>
        </w:tc>
        <w:tc>
          <w:tcPr>
            <w:tcW w:type="dxa" w:w="720"/>
            <w:vAlign w:val="center"/>
            <w:tcMar>
              <w:top w:w="80" w:type="dxa"/>
              <w:start w:w="120" w:type="dxa"/>
              <w:bottom w:w="80" w:type="dxa"/>
              <w:end w:w="120" w:type="dxa"/>
            </w:tcMar>
          </w:tcPr>
          <w:p>
            <w:pPr>
              <w:spacing w:before="0" w:after="0" w:line="245" w:lineRule="auto"/>
            </w:pPr>
          </w:p>
        </w:tc>
        <w:tc>
          <w:tcPr>
            <w:tcW w:type="dxa" w:w="720"/>
            <w:vAlign w:val="center"/>
            <w:tcMar>
              <w:top w:w="80" w:type="dxa"/>
              <w:start w:w="120" w:type="dxa"/>
              <w:bottom w:w="80" w:type="dxa"/>
              <w:end w:w="120" w:type="dxa"/>
            </w:tcMar>
          </w:tcPr>
          <w:p>
            <w:pPr>
              <w:spacing w:before="0" w:after="0" w:line="245" w:lineRule="auto"/>
            </w:pPr>
          </w:p>
        </w:tc>
      </w:tr>
      <w:tr>
        <w:trPr>
          <w:cantSplit/>
        </w:trPr>
        <w:tc>
          <w:tcPr>
            <w:tcW w:type="dxa" w:w="3311"/>
            <w:vAlign w:val="center"/>
            <w:shd w:fill="ECF6EF"/>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0D5F31"/>
                <w:sz w:val="14"/>
              </w:rPr>
              <w:t>Selüloz &amp; kağıt üretimi</w:t>
            </w:r>
          </w:p>
        </w:tc>
        <w:tc>
          <w:tcPr>
            <w:tcW w:type="dxa" w:w="3673"/>
            <w:vAlign w:val="center"/>
            <w:tcMar>
              <w:top w:w="80" w:type="dxa"/>
              <w:start w:w="120" w:type="dxa"/>
              <w:bottom w:w="80" w:type="dxa"/>
              <w:end w:w="120" w:type="dxa"/>
            </w:tcMar>
          </w:tcPr>
          <w:p>
            <w:pPr>
              <w:spacing w:before="0" w:after="0" w:line="245" w:lineRule="auto"/>
            </w:pPr>
          </w:p>
        </w:tc>
        <w:tc>
          <w:tcPr>
            <w:tcW w:type="dxa" w:w="720"/>
            <w:vAlign w:val="center"/>
            <w:tcMar>
              <w:top w:w="80" w:type="dxa"/>
              <w:start w:w="120" w:type="dxa"/>
              <w:bottom w:w="80" w:type="dxa"/>
              <w:end w:w="120" w:type="dxa"/>
            </w:tcMar>
          </w:tcPr>
          <w:p>
            <w:pPr>
              <w:spacing w:before="0" w:after="0" w:line="245" w:lineRule="auto"/>
            </w:pPr>
          </w:p>
        </w:tc>
        <w:tc>
          <w:tcPr>
            <w:tcW w:type="dxa" w:w="720"/>
            <w:vAlign w:val="center"/>
            <w:tcMar>
              <w:top w:w="80" w:type="dxa"/>
              <w:start w:w="120" w:type="dxa"/>
              <w:bottom w:w="80" w:type="dxa"/>
              <w:end w:w="120" w:type="dxa"/>
            </w:tcMar>
          </w:tcPr>
          <w:p>
            <w:pPr>
              <w:spacing w:before="0" w:after="0" w:line="245" w:lineRule="auto"/>
            </w:pPr>
          </w:p>
        </w:tc>
        <w:tc>
          <w:tcPr>
            <w:tcW w:type="dxa" w:w="720"/>
            <w:vAlign w:val="center"/>
            <w:tcMar>
              <w:top w:w="80" w:type="dxa"/>
              <w:start w:w="120" w:type="dxa"/>
              <w:bottom w:w="80" w:type="dxa"/>
              <w:end w:w="120" w:type="dxa"/>
            </w:tcMar>
          </w:tcPr>
          <w:p>
            <w:pPr>
              <w:spacing w:before="0" w:after="0" w:line="245" w:lineRule="auto"/>
            </w:pPr>
          </w:p>
        </w:tc>
        <w:tc>
          <w:tcPr>
            <w:tcW w:type="dxa" w:w="720"/>
            <w:vAlign w:val="center"/>
            <w:tcMar>
              <w:top w:w="80" w:type="dxa"/>
              <w:start w:w="120" w:type="dxa"/>
              <w:bottom w:w="80" w:type="dxa"/>
              <w:end w:w="120" w:type="dxa"/>
            </w:tcMar>
          </w:tcPr>
          <w:p>
            <w:pPr>
              <w:spacing w:before="0" w:after="0" w:line="245" w:lineRule="auto"/>
            </w:pPr>
          </w:p>
        </w:tc>
      </w:tr>
      <w:tr>
        <w:trPr>
          <w:cantSplit/>
        </w:trPr>
        <w:tc>
          <w:tcPr>
            <w:tcW w:type="dxa" w:w="331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Takviye kimyasalları</w:t>
            </w:r>
          </w:p>
        </w:tc>
        <w:tc>
          <w:tcPr>
            <w:tcW w:type="dxa" w:w="3673"/>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CaCO ve Na CO miktarı 3 2 3 [t]</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2.5</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1.5</w:t>
            </w:r>
          </w:p>
        </w:tc>
        <w:tc>
          <w:tcPr>
            <w:tcW w:type="dxa" w:w="720"/>
            <w:vAlign w:val="center"/>
            <w:tcMar>
              <w:top w:w="80" w:type="dxa"/>
              <w:start w:w="120" w:type="dxa"/>
              <w:bottom w:w="80" w:type="dxa"/>
              <w:end w:w="120" w:type="dxa"/>
            </w:tcMar>
          </w:tcPr>
          <w:p>
            <w:pPr>
              <w:spacing w:before="0" w:after="0" w:line="245" w:lineRule="auto"/>
            </w:pPr>
          </w:p>
        </w:tc>
        <w:tc>
          <w:tcPr>
            <w:tcW w:type="dxa" w:w="720"/>
            <w:vAlign w:val="center"/>
            <w:tcMar>
              <w:top w:w="80" w:type="dxa"/>
              <w:start w:w="120" w:type="dxa"/>
              <w:bottom w:w="80" w:type="dxa"/>
              <w:end w:w="120" w:type="dxa"/>
            </w:tcMar>
          </w:tcPr>
          <w:p>
            <w:pPr>
              <w:spacing w:before="0" w:after="0" w:line="245" w:lineRule="auto"/>
            </w:pPr>
          </w:p>
        </w:tc>
      </w:tr>
      <w:tr>
        <w:trPr>
          <w:cantSplit/>
        </w:trPr>
        <w:tc>
          <w:tcPr>
            <w:tcW w:type="dxa" w:w="3311"/>
            <w:vAlign w:val="center"/>
            <w:shd w:fill="ECF6EF"/>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0D5F31"/>
                <w:sz w:val="14"/>
              </w:rPr>
              <w:t>Karbon siyahı üretimi</w:t>
            </w:r>
          </w:p>
        </w:tc>
        <w:tc>
          <w:tcPr>
            <w:tcW w:type="dxa" w:w="3673"/>
            <w:vAlign w:val="center"/>
            <w:tcMar>
              <w:top w:w="80" w:type="dxa"/>
              <w:start w:w="120" w:type="dxa"/>
              <w:bottom w:w="80" w:type="dxa"/>
              <w:end w:w="120" w:type="dxa"/>
            </w:tcMar>
          </w:tcPr>
          <w:p>
            <w:pPr>
              <w:spacing w:before="0" w:after="0" w:line="245" w:lineRule="auto"/>
            </w:pPr>
          </w:p>
        </w:tc>
        <w:tc>
          <w:tcPr>
            <w:tcW w:type="dxa" w:w="720"/>
            <w:vAlign w:val="center"/>
            <w:tcMar>
              <w:top w:w="80" w:type="dxa"/>
              <w:start w:w="120" w:type="dxa"/>
              <w:bottom w:w="80" w:type="dxa"/>
              <w:end w:w="120" w:type="dxa"/>
            </w:tcMar>
          </w:tcPr>
          <w:p>
            <w:pPr>
              <w:spacing w:before="0" w:after="0" w:line="245" w:lineRule="auto"/>
            </w:pPr>
          </w:p>
        </w:tc>
        <w:tc>
          <w:tcPr>
            <w:tcW w:type="dxa" w:w="720"/>
            <w:vAlign w:val="center"/>
            <w:tcMar>
              <w:top w:w="80" w:type="dxa"/>
              <w:start w:w="120" w:type="dxa"/>
              <w:bottom w:w="80" w:type="dxa"/>
              <w:end w:w="120" w:type="dxa"/>
            </w:tcMar>
          </w:tcPr>
          <w:p>
            <w:pPr>
              <w:spacing w:before="0" w:after="0" w:line="245" w:lineRule="auto"/>
            </w:pPr>
          </w:p>
        </w:tc>
        <w:tc>
          <w:tcPr>
            <w:tcW w:type="dxa" w:w="720"/>
            <w:vAlign w:val="center"/>
            <w:tcMar>
              <w:top w:w="80" w:type="dxa"/>
              <w:start w:w="120" w:type="dxa"/>
              <w:bottom w:w="80" w:type="dxa"/>
              <w:end w:w="120" w:type="dxa"/>
            </w:tcMar>
          </w:tcPr>
          <w:p>
            <w:pPr>
              <w:spacing w:before="0" w:after="0" w:line="245" w:lineRule="auto"/>
            </w:pPr>
          </w:p>
        </w:tc>
        <w:tc>
          <w:tcPr>
            <w:tcW w:type="dxa" w:w="720"/>
            <w:vAlign w:val="center"/>
            <w:tcMar>
              <w:top w:w="80" w:type="dxa"/>
              <w:start w:w="120" w:type="dxa"/>
              <w:bottom w:w="80" w:type="dxa"/>
              <w:end w:w="120" w:type="dxa"/>
            </w:tcMar>
          </w:tcPr>
          <w:p>
            <w:pPr>
              <w:spacing w:before="0" w:after="0" w:line="245" w:lineRule="auto"/>
            </w:pPr>
          </w:p>
        </w:tc>
      </w:tr>
      <w:tr>
        <w:trPr>
          <w:cantSplit/>
        </w:trPr>
        <w:tc>
          <w:tcPr>
            <w:tcW w:type="dxa" w:w="331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Kütle dengesi yöntemi</w:t>
            </w:r>
          </w:p>
        </w:tc>
        <w:tc>
          <w:tcPr>
            <w:tcW w:type="dxa" w:w="3673"/>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Her bir girdi ve çıktı malzemesi [t]</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7.5</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5</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2.5</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1.5</w:t>
            </w:r>
          </w:p>
        </w:tc>
      </w:tr>
      <w:tr>
        <w:trPr>
          <w:cantSplit/>
        </w:trPr>
        <w:tc>
          <w:tcPr>
            <w:tcW w:type="dxa" w:w="3311"/>
            <w:vAlign w:val="center"/>
            <w:shd w:fill="ECF6EF"/>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0D5F31"/>
                <w:sz w:val="14"/>
              </w:rPr>
              <w:t>Amonyak üretimi</w:t>
            </w:r>
          </w:p>
        </w:tc>
        <w:tc>
          <w:tcPr>
            <w:tcW w:type="dxa" w:w="3673"/>
            <w:vAlign w:val="center"/>
            <w:tcMar>
              <w:top w:w="80" w:type="dxa"/>
              <w:start w:w="120" w:type="dxa"/>
              <w:bottom w:w="80" w:type="dxa"/>
              <w:end w:w="120" w:type="dxa"/>
            </w:tcMar>
          </w:tcPr>
          <w:p>
            <w:pPr>
              <w:spacing w:before="0" w:after="0" w:line="245" w:lineRule="auto"/>
            </w:pPr>
          </w:p>
        </w:tc>
        <w:tc>
          <w:tcPr>
            <w:tcW w:type="dxa" w:w="720"/>
            <w:vAlign w:val="center"/>
            <w:tcMar>
              <w:top w:w="80" w:type="dxa"/>
              <w:start w:w="120" w:type="dxa"/>
              <w:bottom w:w="80" w:type="dxa"/>
              <w:end w:w="120" w:type="dxa"/>
            </w:tcMar>
          </w:tcPr>
          <w:p>
            <w:pPr>
              <w:spacing w:before="0" w:after="0" w:line="245" w:lineRule="auto"/>
            </w:pPr>
          </w:p>
        </w:tc>
        <w:tc>
          <w:tcPr>
            <w:tcW w:type="dxa" w:w="720"/>
            <w:vAlign w:val="center"/>
            <w:tcMar>
              <w:top w:w="80" w:type="dxa"/>
              <w:start w:w="120" w:type="dxa"/>
              <w:bottom w:w="80" w:type="dxa"/>
              <w:end w:w="120" w:type="dxa"/>
            </w:tcMar>
          </w:tcPr>
          <w:p>
            <w:pPr>
              <w:spacing w:before="0" w:after="0" w:line="245" w:lineRule="auto"/>
            </w:pPr>
          </w:p>
        </w:tc>
        <w:tc>
          <w:tcPr>
            <w:tcW w:type="dxa" w:w="720"/>
            <w:vAlign w:val="center"/>
            <w:tcMar>
              <w:top w:w="80" w:type="dxa"/>
              <w:start w:w="120" w:type="dxa"/>
              <w:bottom w:w="80" w:type="dxa"/>
              <w:end w:w="120" w:type="dxa"/>
            </w:tcMar>
          </w:tcPr>
          <w:p>
            <w:pPr>
              <w:spacing w:before="0" w:after="0" w:line="245" w:lineRule="auto"/>
            </w:pPr>
          </w:p>
        </w:tc>
        <w:tc>
          <w:tcPr>
            <w:tcW w:type="dxa" w:w="720"/>
            <w:vAlign w:val="center"/>
            <w:tcMar>
              <w:top w:w="80" w:type="dxa"/>
              <w:start w:w="120" w:type="dxa"/>
              <w:bottom w:w="80" w:type="dxa"/>
              <w:end w:w="120" w:type="dxa"/>
            </w:tcMar>
          </w:tcPr>
          <w:p>
            <w:pPr>
              <w:spacing w:before="0" w:after="0" w:line="245" w:lineRule="auto"/>
            </w:pPr>
          </w:p>
        </w:tc>
      </w:tr>
      <w:tr>
        <w:trPr>
          <w:cantSplit/>
        </w:trPr>
        <w:tc>
          <w:tcPr>
            <w:tcW w:type="dxa" w:w="331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Proses girdisi olan yakıt miktarı [t] veya [Nm3]</w:t>
            </w:r>
          </w:p>
        </w:tc>
        <w:tc>
          <w:tcPr>
            <w:tcW w:type="dxa" w:w="3673"/>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Proses girdisi olarak kullanılan yakıtın miktarı [t] veya [Nm3]</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7.5</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5</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2.5</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1.5</w:t>
            </w:r>
          </w:p>
        </w:tc>
      </w:tr>
      <w:tr>
        <w:trPr>
          <w:cantSplit/>
        </w:trPr>
        <w:tc>
          <w:tcPr>
            <w:tcW w:type="dxa" w:w="3311"/>
            <w:vAlign w:val="center"/>
            <w:shd w:fill="ECF6EF"/>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0D5F31"/>
                <w:sz w:val="14"/>
              </w:rPr>
              <w:t>Hidrojen ve sentez gazının üretimi</w:t>
            </w:r>
          </w:p>
        </w:tc>
        <w:tc>
          <w:tcPr>
            <w:tcW w:type="dxa" w:w="3673"/>
            <w:vAlign w:val="center"/>
            <w:tcMar>
              <w:top w:w="80" w:type="dxa"/>
              <w:start w:w="120" w:type="dxa"/>
              <w:bottom w:w="80" w:type="dxa"/>
              <w:end w:w="120" w:type="dxa"/>
            </w:tcMar>
          </w:tcPr>
          <w:p>
            <w:pPr>
              <w:spacing w:before="0" w:after="0" w:line="245" w:lineRule="auto"/>
            </w:pPr>
          </w:p>
        </w:tc>
        <w:tc>
          <w:tcPr>
            <w:tcW w:type="dxa" w:w="720"/>
            <w:vAlign w:val="center"/>
            <w:tcMar>
              <w:top w:w="80" w:type="dxa"/>
              <w:start w:w="120" w:type="dxa"/>
              <w:bottom w:w="80" w:type="dxa"/>
              <w:end w:w="120" w:type="dxa"/>
            </w:tcMar>
          </w:tcPr>
          <w:p>
            <w:pPr>
              <w:spacing w:before="0" w:after="0" w:line="245" w:lineRule="auto"/>
            </w:pPr>
          </w:p>
        </w:tc>
        <w:tc>
          <w:tcPr>
            <w:tcW w:type="dxa" w:w="720"/>
            <w:vAlign w:val="center"/>
            <w:tcMar>
              <w:top w:w="80" w:type="dxa"/>
              <w:start w:w="120" w:type="dxa"/>
              <w:bottom w:w="80" w:type="dxa"/>
              <w:end w:w="120" w:type="dxa"/>
            </w:tcMar>
          </w:tcPr>
          <w:p>
            <w:pPr>
              <w:spacing w:before="0" w:after="0" w:line="245" w:lineRule="auto"/>
            </w:pPr>
          </w:p>
        </w:tc>
        <w:tc>
          <w:tcPr>
            <w:tcW w:type="dxa" w:w="720"/>
            <w:vAlign w:val="center"/>
            <w:tcMar>
              <w:top w:w="80" w:type="dxa"/>
              <w:start w:w="120" w:type="dxa"/>
              <w:bottom w:w="80" w:type="dxa"/>
              <w:end w:w="120" w:type="dxa"/>
            </w:tcMar>
          </w:tcPr>
          <w:p>
            <w:pPr>
              <w:spacing w:before="0" w:after="0" w:line="245" w:lineRule="auto"/>
            </w:pPr>
          </w:p>
        </w:tc>
        <w:tc>
          <w:tcPr>
            <w:tcW w:type="dxa" w:w="720"/>
            <w:vAlign w:val="center"/>
            <w:tcMar>
              <w:top w:w="80" w:type="dxa"/>
              <w:start w:w="120" w:type="dxa"/>
              <w:bottom w:w="80" w:type="dxa"/>
              <w:end w:w="120" w:type="dxa"/>
            </w:tcMar>
          </w:tcPr>
          <w:p>
            <w:pPr>
              <w:spacing w:before="0" w:after="0" w:line="245" w:lineRule="auto"/>
            </w:pPr>
          </w:p>
        </w:tc>
      </w:tr>
      <w:tr>
        <w:trPr>
          <w:cantSplit/>
        </w:trPr>
        <w:tc>
          <w:tcPr>
            <w:tcW w:type="dxa" w:w="331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Proses girdisi olan yakıtlar</w:t>
            </w:r>
          </w:p>
        </w:tc>
        <w:tc>
          <w:tcPr>
            <w:tcW w:type="dxa" w:w="3673"/>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Hidrojen üretimi için proses girdisi olarak kullanılan yakıtın miktarı [t] veya [Nm3]</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7.5</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5</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2.5</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1.5</w:t>
            </w:r>
          </w:p>
        </w:tc>
      </w:tr>
      <w:tr>
        <w:trPr>
          <w:cantSplit/>
        </w:trPr>
        <w:tc>
          <w:tcPr>
            <w:tcW w:type="dxa" w:w="331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Kütle dengesi yöntemi</w:t>
            </w:r>
          </w:p>
        </w:tc>
        <w:tc>
          <w:tcPr>
            <w:tcW w:type="dxa" w:w="3673"/>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Her bir girdi ve çıktı malzemesi [t]</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7.5</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5</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2.5</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1.5</w:t>
            </w:r>
          </w:p>
        </w:tc>
      </w:tr>
      <w:tr>
        <w:trPr>
          <w:cantSplit/>
        </w:trPr>
        <w:tc>
          <w:tcPr>
            <w:tcW w:type="dxa" w:w="3311"/>
            <w:vAlign w:val="center"/>
            <w:shd w:fill="ECF6EF"/>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0D5F31"/>
                <w:sz w:val="14"/>
              </w:rPr>
              <w:t>Hacimli organik kimyasalların üretimi</w:t>
            </w:r>
          </w:p>
        </w:tc>
        <w:tc>
          <w:tcPr>
            <w:tcW w:type="dxa" w:w="3673"/>
            <w:vAlign w:val="center"/>
            <w:tcMar>
              <w:top w:w="80" w:type="dxa"/>
              <w:start w:w="120" w:type="dxa"/>
              <w:bottom w:w="80" w:type="dxa"/>
              <w:end w:w="120" w:type="dxa"/>
            </w:tcMar>
          </w:tcPr>
          <w:p>
            <w:pPr>
              <w:spacing w:before="0" w:after="0" w:line="245" w:lineRule="auto"/>
            </w:pPr>
          </w:p>
        </w:tc>
        <w:tc>
          <w:tcPr>
            <w:tcW w:type="dxa" w:w="720"/>
            <w:vAlign w:val="center"/>
            <w:tcMar>
              <w:top w:w="80" w:type="dxa"/>
              <w:start w:w="120" w:type="dxa"/>
              <w:bottom w:w="80" w:type="dxa"/>
              <w:end w:w="120" w:type="dxa"/>
            </w:tcMar>
          </w:tcPr>
          <w:p>
            <w:pPr>
              <w:spacing w:before="0" w:after="0" w:line="245" w:lineRule="auto"/>
            </w:pPr>
          </w:p>
        </w:tc>
        <w:tc>
          <w:tcPr>
            <w:tcW w:type="dxa" w:w="720"/>
            <w:vAlign w:val="center"/>
            <w:tcMar>
              <w:top w:w="80" w:type="dxa"/>
              <w:start w:w="120" w:type="dxa"/>
              <w:bottom w:w="80" w:type="dxa"/>
              <w:end w:w="120" w:type="dxa"/>
            </w:tcMar>
          </w:tcPr>
          <w:p>
            <w:pPr>
              <w:spacing w:before="0" w:after="0" w:line="245" w:lineRule="auto"/>
            </w:pPr>
          </w:p>
        </w:tc>
        <w:tc>
          <w:tcPr>
            <w:tcW w:type="dxa" w:w="720"/>
            <w:vAlign w:val="center"/>
            <w:tcMar>
              <w:top w:w="80" w:type="dxa"/>
              <w:start w:w="120" w:type="dxa"/>
              <w:bottom w:w="80" w:type="dxa"/>
              <w:end w:w="120" w:type="dxa"/>
            </w:tcMar>
          </w:tcPr>
          <w:p>
            <w:pPr>
              <w:spacing w:before="0" w:after="0" w:line="245" w:lineRule="auto"/>
            </w:pPr>
          </w:p>
        </w:tc>
        <w:tc>
          <w:tcPr>
            <w:tcW w:type="dxa" w:w="720"/>
            <w:vAlign w:val="center"/>
            <w:tcMar>
              <w:top w:w="80" w:type="dxa"/>
              <w:start w:w="120" w:type="dxa"/>
              <w:bottom w:w="80" w:type="dxa"/>
              <w:end w:w="120" w:type="dxa"/>
            </w:tcMar>
          </w:tcPr>
          <w:p>
            <w:pPr>
              <w:spacing w:before="0" w:after="0" w:line="245" w:lineRule="auto"/>
            </w:pPr>
          </w:p>
        </w:tc>
      </w:tr>
    </w:tbl>
    <w:tbl>
      <w:tblPr>
        <w:tblStyle w:val="TableGrid"/>
        <w:tblW w:type="dxa" w:w="9864"/>
        <w:jc w:val="left"/>
        <w:tblLayout w:type="fixed"/>
        <w:tblLook w:firstColumn="1" w:firstRow="1" w:lastColumn="0" w:lastRow="0" w:noHBand="0" w:noVBand="1" w:val="04A0"/>
        <w:tblInd w:w="120" w:type="dxa"/>
      </w:tblPr>
      <w:tblGrid>
        <w:gridCol w:w="3487"/>
        <w:gridCol w:w="3497"/>
        <w:gridCol w:w="720"/>
        <w:gridCol w:w="720"/>
        <w:gridCol w:w="720"/>
        <w:gridCol w:w="720"/>
      </w:tblGrid>
      <w:tr>
        <w:trPr>
          <w:tblHeader/>
          <w:cantSplit/>
        </w:trPr>
        <w:tc>
          <w:tcPr>
            <w:tcW w:type="dxa" w:w="3487"/>
            <w:vAlign w:val="center"/>
            <w:shd w:fill="0D5F31"/>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FFFFFF"/>
                <w:sz w:val="14"/>
              </w:rPr>
              <w:t>Kütle dengesi yöntemi</w:t>
            </w:r>
          </w:p>
        </w:tc>
        <w:tc>
          <w:tcPr>
            <w:tcW w:type="dxa" w:w="3497"/>
            <w:vAlign w:val="center"/>
            <w:shd w:fill="0D5F31"/>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FFFFFF"/>
                <w:sz w:val="14"/>
              </w:rPr>
              <w:t>Her bir girdi ve çıktı malzemesi [t]</w:t>
            </w:r>
          </w:p>
        </w:tc>
        <w:tc>
          <w:tcPr>
            <w:tcW w:type="dxa" w:w="720"/>
            <w:vAlign w:val="center"/>
            <w:shd w:fill="0D5F31"/>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FFFFFF"/>
                <w:sz w:val="14"/>
              </w:rPr>
              <w:t>± % 7.5</w:t>
            </w:r>
          </w:p>
        </w:tc>
        <w:tc>
          <w:tcPr>
            <w:tcW w:type="dxa" w:w="720"/>
            <w:vAlign w:val="center"/>
            <w:shd w:fill="0D5F31"/>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FFFFFF"/>
                <w:sz w:val="14"/>
              </w:rPr>
              <w:t>± % 5</w:t>
            </w:r>
          </w:p>
        </w:tc>
        <w:tc>
          <w:tcPr>
            <w:tcW w:type="dxa" w:w="720"/>
            <w:vAlign w:val="center"/>
            <w:shd w:fill="0D5F31"/>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FFFFFF"/>
                <w:sz w:val="14"/>
              </w:rPr>
              <w:t>± % 2.5</w:t>
            </w:r>
          </w:p>
        </w:tc>
        <w:tc>
          <w:tcPr>
            <w:tcW w:type="dxa" w:w="720"/>
            <w:vAlign w:val="center"/>
            <w:shd w:fill="0D5F31"/>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FFFFFF"/>
                <w:sz w:val="14"/>
              </w:rPr>
              <w:t>± % 1.5</w:t>
            </w:r>
          </w:p>
        </w:tc>
      </w:tr>
      <w:tr>
        <w:trPr>
          <w:cantSplit/>
        </w:trPr>
        <w:tc>
          <w:tcPr>
            <w:tcW w:type="dxa" w:w="3487"/>
            <w:vAlign w:val="center"/>
            <w:shd w:fill="ECF6EF"/>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0D5F31"/>
                <w:sz w:val="14"/>
              </w:rPr>
              <w:t>Demir ve demir dışı madenlerin üretimi veya işlenmesi (İkincil alüminyum üretimi dahil)</w:t>
            </w:r>
          </w:p>
        </w:tc>
        <w:tc>
          <w:tcPr>
            <w:tcW w:type="dxa" w:w="3497"/>
            <w:vAlign w:val="center"/>
            <w:shd w:fill="ECF6EF"/>
            <w:tcMar>
              <w:top w:w="80" w:type="dxa"/>
              <w:start w:w="120" w:type="dxa"/>
              <w:bottom w:w="80" w:type="dxa"/>
              <w:end w:w="120" w:type="dxa"/>
            </w:tcMar>
          </w:tcPr>
          <w:p>
            <w:pPr>
              <w:spacing w:before="0" w:after="0" w:line="245" w:lineRule="auto"/>
              <w:jc w:val="center"/>
            </w:pPr>
          </w:p>
        </w:tc>
        <w:tc>
          <w:tcPr>
            <w:tcW w:type="dxa" w:w="720"/>
            <w:vAlign w:val="center"/>
            <w:shd w:fill="ECF6EF"/>
            <w:tcMar>
              <w:top w:w="80" w:type="dxa"/>
              <w:start w:w="120" w:type="dxa"/>
              <w:bottom w:w="80" w:type="dxa"/>
              <w:end w:w="120" w:type="dxa"/>
            </w:tcMar>
          </w:tcPr>
          <w:p>
            <w:pPr>
              <w:spacing w:before="0" w:after="0" w:line="245" w:lineRule="auto"/>
              <w:jc w:val="center"/>
            </w:pPr>
          </w:p>
        </w:tc>
        <w:tc>
          <w:tcPr>
            <w:tcW w:type="dxa" w:w="720"/>
            <w:vAlign w:val="center"/>
            <w:shd w:fill="ECF6EF"/>
            <w:tcMar>
              <w:top w:w="80" w:type="dxa"/>
              <w:start w:w="120" w:type="dxa"/>
              <w:bottom w:w="80" w:type="dxa"/>
              <w:end w:w="120" w:type="dxa"/>
            </w:tcMar>
          </w:tcPr>
          <w:p>
            <w:pPr>
              <w:spacing w:before="0" w:after="0" w:line="245" w:lineRule="auto"/>
              <w:jc w:val="center"/>
            </w:pPr>
          </w:p>
        </w:tc>
        <w:tc>
          <w:tcPr>
            <w:tcW w:type="dxa" w:w="720"/>
            <w:vAlign w:val="center"/>
            <w:shd w:fill="ECF6EF"/>
            <w:tcMar>
              <w:top w:w="80" w:type="dxa"/>
              <w:start w:w="120" w:type="dxa"/>
              <w:bottom w:w="80" w:type="dxa"/>
              <w:end w:w="120" w:type="dxa"/>
            </w:tcMar>
          </w:tcPr>
          <w:p>
            <w:pPr>
              <w:spacing w:before="0" w:after="0" w:line="245" w:lineRule="auto"/>
              <w:jc w:val="center"/>
            </w:pPr>
          </w:p>
        </w:tc>
        <w:tc>
          <w:tcPr>
            <w:tcW w:type="dxa" w:w="720"/>
            <w:vAlign w:val="center"/>
            <w:shd w:fill="ECF6EF"/>
            <w:tcMar>
              <w:top w:w="80" w:type="dxa"/>
              <w:start w:w="120" w:type="dxa"/>
              <w:bottom w:w="80" w:type="dxa"/>
              <w:end w:w="120" w:type="dxa"/>
            </w:tcMar>
          </w:tcPr>
          <w:p>
            <w:pPr>
              <w:spacing w:before="0" w:after="0" w:line="245" w:lineRule="auto"/>
              <w:jc w:val="center"/>
            </w:pPr>
          </w:p>
        </w:tc>
      </w:tr>
      <w:tr>
        <w:trPr>
          <w:cantSplit/>
        </w:trPr>
        <w:tc>
          <w:tcPr>
            <w:tcW w:type="dxa" w:w="3487"/>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Proses emisyonları</w:t>
            </w:r>
          </w:p>
        </w:tc>
        <w:tc>
          <w:tcPr>
            <w:tcW w:type="dxa" w:w="3497"/>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Her bir girdi malzemesi veya proses girdi malzemesi olarak kullanılan proses kalıntısı [t]</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5</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2.5</w:t>
            </w:r>
          </w:p>
        </w:tc>
        <w:tc>
          <w:tcPr>
            <w:tcW w:type="dxa" w:w="720"/>
            <w:vAlign w:val="center"/>
            <w:tcMar>
              <w:top w:w="80" w:type="dxa"/>
              <w:start w:w="120" w:type="dxa"/>
              <w:bottom w:w="80" w:type="dxa"/>
              <w:end w:w="120" w:type="dxa"/>
            </w:tcMar>
          </w:tcPr>
          <w:p>
            <w:pPr>
              <w:spacing w:before="0" w:after="0" w:line="245" w:lineRule="auto"/>
            </w:pPr>
          </w:p>
        </w:tc>
        <w:tc>
          <w:tcPr>
            <w:tcW w:type="dxa" w:w="720"/>
            <w:vAlign w:val="center"/>
            <w:tcMar>
              <w:top w:w="80" w:type="dxa"/>
              <w:start w:w="120" w:type="dxa"/>
              <w:bottom w:w="80" w:type="dxa"/>
              <w:end w:w="120" w:type="dxa"/>
            </w:tcMar>
          </w:tcPr>
          <w:p>
            <w:pPr>
              <w:spacing w:before="0" w:after="0" w:line="245" w:lineRule="auto"/>
            </w:pPr>
          </w:p>
        </w:tc>
      </w:tr>
      <w:tr>
        <w:trPr>
          <w:cantSplit/>
        </w:trPr>
        <w:tc>
          <w:tcPr>
            <w:tcW w:type="dxa" w:w="3487"/>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Kütle dengesi yöntemi</w:t>
            </w:r>
          </w:p>
        </w:tc>
        <w:tc>
          <w:tcPr>
            <w:tcW w:type="dxa" w:w="3497"/>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Her bir girdi ve çıktı malzemesi [t]</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7.5</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5</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2.5</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1.5</w:t>
            </w:r>
          </w:p>
        </w:tc>
      </w:tr>
      <w:tr>
        <w:trPr>
          <w:cantSplit/>
        </w:trPr>
        <w:tc>
          <w:tcPr>
            <w:tcW w:type="dxa" w:w="3487"/>
            <w:vAlign w:val="center"/>
            <w:shd w:fill="ECF6EF"/>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0D5F31"/>
                <w:sz w:val="14"/>
              </w:rPr>
              <w:t>Birincil alüminyum üretimi</w:t>
            </w:r>
          </w:p>
        </w:tc>
        <w:tc>
          <w:tcPr>
            <w:tcW w:type="dxa" w:w="3497"/>
            <w:vAlign w:val="center"/>
            <w:tcMar>
              <w:top w:w="80" w:type="dxa"/>
              <w:start w:w="120" w:type="dxa"/>
              <w:bottom w:w="80" w:type="dxa"/>
              <w:end w:w="120" w:type="dxa"/>
            </w:tcMar>
          </w:tcPr>
          <w:p>
            <w:pPr>
              <w:spacing w:before="0" w:after="0" w:line="245" w:lineRule="auto"/>
            </w:pPr>
          </w:p>
        </w:tc>
        <w:tc>
          <w:tcPr>
            <w:tcW w:type="dxa" w:w="720"/>
            <w:vAlign w:val="center"/>
            <w:tcMar>
              <w:top w:w="80" w:type="dxa"/>
              <w:start w:w="120" w:type="dxa"/>
              <w:bottom w:w="80" w:type="dxa"/>
              <w:end w:w="120" w:type="dxa"/>
            </w:tcMar>
          </w:tcPr>
          <w:p>
            <w:pPr>
              <w:spacing w:before="0" w:after="0" w:line="245" w:lineRule="auto"/>
            </w:pPr>
          </w:p>
        </w:tc>
        <w:tc>
          <w:tcPr>
            <w:tcW w:type="dxa" w:w="720"/>
            <w:vAlign w:val="center"/>
            <w:tcMar>
              <w:top w:w="80" w:type="dxa"/>
              <w:start w:w="120" w:type="dxa"/>
              <w:bottom w:w="80" w:type="dxa"/>
              <w:end w:w="120" w:type="dxa"/>
            </w:tcMar>
          </w:tcPr>
          <w:p>
            <w:pPr>
              <w:spacing w:before="0" w:after="0" w:line="245" w:lineRule="auto"/>
            </w:pPr>
          </w:p>
        </w:tc>
        <w:tc>
          <w:tcPr>
            <w:tcW w:type="dxa" w:w="720"/>
            <w:vAlign w:val="center"/>
            <w:tcMar>
              <w:top w:w="80" w:type="dxa"/>
              <w:start w:w="120" w:type="dxa"/>
              <w:bottom w:w="80" w:type="dxa"/>
              <w:end w:w="120" w:type="dxa"/>
            </w:tcMar>
          </w:tcPr>
          <w:p>
            <w:pPr>
              <w:spacing w:before="0" w:after="0" w:line="245" w:lineRule="auto"/>
            </w:pPr>
          </w:p>
        </w:tc>
        <w:tc>
          <w:tcPr>
            <w:tcW w:type="dxa" w:w="720"/>
            <w:vAlign w:val="center"/>
            <w:tcMar>
              <w:top w:w="80" w:type="dxa"/>
              <w:start w:w="120" w:type="dxa"/>
              <w:bottom w:w="80" w:type="dxa"/>
              <w:end w:w="120" w:type="dxa"/>
            </w:tcMar>
          </w:tcPr>
          <w:p>
            <w:pPr>
              <w:spacing w:before="0" w:after="0" w:line="245" w:lineRule="auto"/>
            </w:pPr>
          </w:p>
        </w:tc>
      </w:tr>
      <w:tr>
        <w:trPr>
          <w:cantSplit/>
        </w:trPr>
        <w:tc>
          <w:tcPr>
            <w:tcW w:type="dxa" w:w="3487"/>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Kütle dengesi yöntemi</w:t>
            </w:r>
          </w:p>
        </w:tc>
        <w:tc>
          <w:tcPr>
            <w:tcW w:type="dxa" w:w="3497"/>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Her bir girdi ve çıktı malzemesi [t]</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7.5</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5</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2.5</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1.5</w:t>
            </w:r>
          </w:p>
        </w:tc>
      </w:tr>
      <w:tr>
        <w:trPr>
          <w:cantSplit/>
        </w:trPr>
        <w:tc>
          <w:tcPr>
            <w:tcW w:type="dxa" w:w="3487"/>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PFC emisyonları (eğim yöntemi)</w:t>
            </w:r>
          </w:p>
        </w:tc>
        <w:tc>
          <w:tcPr>
            <w:tcW w:type="dxa" w:w="3497"/>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[t] cinsinde birincil alüminyum üretimi, [anot etkisi sayısı dakikaları /hücre gün] ve [anot etkisi dakikası/ sayı] cinsinde anot etki dakikası</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2.5</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1.5</w:t>
            </w:r>
          </w:p>
        </w:tc>
        <w:tc>
          <w:tcPr>
            <w:tcW w:type="dxa" w:w="720"/>
            <w:vAlign w:val="center"/>
            <w:tcMar>
              <w:top w:w="80" w:type="dxa"/>
              <w:start w:w="120" w:type="dxa"/>
              <w:bottom w:w="80" w:type="dxa"/>
              <w:end w:w="120" w:type="dxa"/>
            </w:tcMar>
          </w:tcPr>
          <w:p>
            <w:pPr>
              <w:spacing w:before="0" w:after="0" w:line="245" w:lineRule="auto"/>
            </w:pPr>
          </w:p>
        </w:tc>
        <w:tc>
          <w:tcPr>
            <w:tcW w:type="dxa" w:w="720"/>
            <w:vAlign w:val="center"/>
            <w:tcMar>
              <w:top w:w="80" w:type="dxa"/>
              <w:start w:w="120" w:type="dxa"/>
              <w:bottom w:w="80" w:type="dxa"/>
              <w:end w:w="120" w:type="dxa"/>
            </w:tcMar>
          </w:tcPr>
          <w:p>
            <w:pPr>
              <w:spacing w:before="0" w:after="0" w:line="245" w:lineRule="auto"/>
            </w:pPr>
          </w:p>
        </w:tc>
      </w:tr>
      <w:tr>
        <w:trPr>
          <w:cantSplit/>
        </w:trPr>
        <w:tc>
          <w:tcPr>
            <w:tcW w:type="dxa" w:w="3487"/>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PFC emisyonları (aşırı gerilim yöntemi)</w:t>
            </w:r>
          </w:p>
        </w:tc>
        <w:tc>
          <w:tcPr>
            <w:tcW w:type="dxa" w:w="3497"/>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[t] cinsinde birincil alüminyum üretimi, anot etkisi aşırı gerilim [mV] ve mevcut verimlilik [-]</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2.5</w:t>
            </w:r>
          </w:p>
        </w:tc>
        <w:tc>
          <w:tcPr>
            <w:tcW w:type="dxa" w:w="72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 % 1.5</w:t>
            </w:r>
          </w:p>
        </w:tc>
        <w:tc>
          <w:tcPr>
            <w:tcW w:type="dxa" w:w="720"/>
            <w:vAlign w:val="center"/>
            <w:tcMar>
              <w:top w:w="80" w:type="dxa"/>
              <w:start w:w="120" w:type="dxa"/>
              <w:bottom w:w="80" w:type="dxa"/>
              <w:end w:w="120" w:type="dxa"/>
            </w:tcMar>
          </w:tcPr>
          <w:p>
            <w:pPr>
              <w:spacing w:before="0" w:after="0" w:line="245" w:lineRule="auto"/>
            </w:pPr>
          </w:p>
        </w:tc>
        <w:tc>
          <w:tcPr>
            <w:tcW w:type="dxa" w:w="720"/>
            <w:vAlign w:val="center"/>
            <w:tcMar>
              <w:top w:w="80" w:type="dxa"/>
              <w:start w:w="120" w:type="dxa"/>
              <w:bottom w:w="80" w:type="dxa"/>
              <w:end w:w="120" w:type="dxa"/>
            </w:tcMar>
          </w:tcPr>
          <w:p>
            <w:pPr>
              <w:spacing w:before="0" w:after="0" w:line="245" w:lineRule="auto"/>
            </w:pPr>
          </w:p>
        </w:tc>
      </w:tr>
    </w:tbl>
    <w:p>
      <w:pPr>
        <w:pStyle w:val="ArticleText"/>
      </w:pPr>
      <w:r>
        <w:rPr>
          <w:rFonts w:ascii="Avenir Light" w:hAnsi="Avenir Light" w:eastAsia="Avenir Light" w:cs="Avenir Light"/>
          <w:b w:val="0"/>
          <w:i w:val="0"/>
          <w:color w:val="172126"/>
          <w:sz w:val="19"/>
        </w:rPr>
        <w:t>*Rafinerilerdeki katalitik kırılma (kraking) rejenerasyonundan (diğer katalizör rejenerasyonu ve flexi-koklaştırıcı) oluşan emisyonların izlenmesi için gerekli belirsizlik, bu kaynaktan doğan bütün emisyonların toplam belirsizliği ile bağlantılıdır. ** Sanayiye ait en iyi uygulama kılavuzlarını kullanarak tahmin edilen bir raporlama dönemi süresince fırın sistemini terk eden CKD (çimento fırın tozu) veya bypass tozunun (geçerli olduğu durumda) miktarı [t].</w:t>
      </w:r>
    </w:p>
    <w:p>
      <w:pPr>
        <w:pStyle w:val="AnnexSubheading"/>
      </w:pPr>
      <w:r>
        <w:rPr>
          <w:rFonts w:ascii="Avenir Light" w:hAnsi="Avenir Light" w:eastAsia="Avenir Light" w:cs="Avenir Light"/>
          <w:b w:val="0"/>
          <w:i w:val="0"/>
          <w:color w:val="0D5F31"/>
          <w:sz w:val="21"/>
        </w:rPr>
        <w:t>2. Yanma Emisyonlarının Hesaplama Faktörleri İçin Kademelerin Tanımı</w:t>
      </w:r>
    </w:p>
    <w:p>
      <w:pPr>
        <w:pStyle w:val="ArticleText"/>
      </w:pPr>
      <w:r>
        <w:rPr>
          <w:rFonts w:ascii="Avenir Light" w:hAnsi="Avenir Light" w:eastAsia="Avenir Light" w:cs="Avenir Light"/>
          <w:b w:val="0"/>
          <w:i w:val="0"/>
          <w:color w:val="172126"/>
          <w:sz w:val="19"/>
        </w:rPr>
        <w:t xml:space="preserve">İşletmeler Yönetmeliğin </w:t>
      </w:r>
      <w:hyperlink w:anchor="ek_1" w:history="1">
        <w:r>
          <w:rPr>
            <w:rFonts w:ascii="Avenir Light" w:hAnsi="Avenir Light" w:eastAsia="Avenir Light" w:cs="Avenir Light"/>
            <w:color w:val="188A42"/>
            <w:sz w:val="19"/>
            <w:szCs w:val="19"/>
          </w:rPr>
          <w:t xml:space="preserve">ek-1</w:t>
        </w:r>
      </w:hyperlink>
      <w:r>
        <w:rPr>
          <w:rFonts w:ascii="Avenir Light" w:hAnsi="Avenir Light" w:eastAsia="Avenir Light" w:cs="Avenir Light"/>
          <w:b w:val="0"/>
          <w:i w:val="0"/>
          <w:color w:val="172126"/>
          <w:sz w:val="19"/>
        </w:rPr>
        <w:t xml:space="preserve">’inde listelenen faaliyetler altında gerçekleşen her tip yanma işleminden kaynaklanan CO 2 emisyonlarını, bu bölümde yer alan kademeleri kullanarak izler. Yakıtların ve yanabilir malzemelerin proses girdisi olarak kullanıldığı durumlarda bu Ek’in beşinci bölümündeki hükümler uygulanır. Yakıtların, bu Tebliğin </w:t>
      </w:r>
      <w:hyperlink w:anchor="madde_23" w:history="1">
        <w:r>
          <w:rPr>
            <w:rFonts w:ascii="Avenir Light" w:hAnsi="Avenir Light" w:eastAsia="Avenir Light" w:cs="Avenir Light"/>
            <w:color w:val="188A42"/>
            <w:sz w:val="19"/>
            <w:szCs w:val="19"/>
          </w:rPr>
          <w:t xml:space="preserve">23 üncü madde</w:t>
        </w:r>
      </w:hyperlink>
      <w:r>
        <w:rPr>
          <w:rFonts w:ascii="Avenir Light" w:hAnsi="Avenir Light" w:eastAsia="Avenir Light" w:cs="Avenir Light"/>
          <w:b w:val="0"/>
          <w:i w:val="0"/>
          <w:color w:val="172126"/>
          <w:sz w:val="19"/>
        </w:rPr>
        <w:t>sinin birinci fıkrasında tanımlanan kütle dengesinin bir parçası olduğu durumlarda, bu Ekin üçüncü bölümünde yer alan kütle dengesi kademe tanımları geçerlidir. Baca gazı yıkamadan kaynaklanan proses emisyonları için, bu Ek’in dördüncü ve beşinci bölümünde yer alan kademe tanımları kullanır.</w:t>
      </w:r>
    </w:p>
    <w:p>
      <w:pPr>
        <w:pStyle w:val="AnnexSubheading"/>
      </w:pPr>
      <w:r>
        <w:rPr>
          <w:rFonts w:ascii="Avenir Light" w:hAnsi="Avenir Light" w:eastAsia="Avenir Light" w:cs="Avenir Light"/>
          <w:b w:val="0"/>
          <w:i w:val="0"/>
          <w:color w:val="0D5F31"/>
          <w:sz w:val="21"/>
        </w:rPr>
        <w:t>2.1 Emisyon Faktörleri İçin Kademeler</w:t>
      </w:r>
    </w:p>
    <w:p>
      <w:pPr>
        <w:pStyle w:val="ArticleText"/>
      </w:pPr>
      <w:r>
        <w:rPr>
          <w:rFonts w:ascii="Avenir Light" w:hAnsi="Avenir Light" w:eastAsia="Avenir Light" w:cs="Avenir Light"/>
          <w:b w:val="0"/>
          <w:i w:val="0"/>
          <w:color w:val="172126"/>
          <w:sz w:val="19"/>
        </w:rPr>
        <w:t>Karışık bir yakıt veya malzeme için biyokütle oranı belirlenirken, tanımlanan kademeler ön emisyon faktörü ile bağlantılıdır. Fosil yakıtlar ve maddeler için ise kademeler emisyon faktörü ile bağlantılıdır. Kademe 1: İşletme aşağıdakilerden birini uygular:</w:t>
      </w:r>
    </w:p>
    <w:p>
      <w:pPr>
        <w:pStyle w:val="LegalList"/>
      </w:pPr>
      <w:r>
        <w:rPr>
          <w:rFonts w:ascii="Avenir Light" w:hAnsi="Avenir Light" w:eastAsia="Avenir Light" w:cs="Avenir Light"/>
          <w:b w:val="0"/>
          <w:i w:val="0"/>
          <w:color w:val="172126"/>
          <w:sz w:val="19"/>
        </w:rPr>
        <w:t xml:space="preserve">(a) </w:t>
      </w:r>
      <w:hyperlink w:anchor="ek_5" w:history="1">
        <w:r>
          <w:rPr>
            <w:rFonts w:ascii="Avenir Light" w:hAnsi="Avenir Light" w:eastAsia="Avenir Light" w:cs="Avenir Light"/>
            <w:color w:val="188A42"/>
            <w:sz w:val="19"/>
            <w:szCs w:val="19"/>
          </w:rPr>
          <w:t xml:space="preserve">Ek-5</w:t>
        </w:r>
      </w:hyperlink>
      <w:r>
        <w:rPr>
          <w:rFonts w:ascii="Avenir Light" w:hAnsi="Avenir Light" w:eastAsia="Avenir Light" w:cs="Avenir Light"/>
          <w:b w:val="0"/>
          <w:i w:val="0"/>
          <w:color w:val="172126"/>
          <w:sz w:val="19"/>
        </w:rPr>
        <w:t>'in 1inci bölümünde listelenen standart faktörler,</w:t>
      </w:r>
    </w:p>
    <w:p>
      <w:pPr>
        <w:pStyle w:val="LegalList"/>
      </w:pPr>
      <w:r>
        <w:rPr>
          <w:rFonts w:ascii="Avenir Light" w:hAnsi="Avenir Light" w:eastAsia="Avenir Light" w:cs="Avenir Light"/>
          <w:b w:val="0"/>
          <w:i w:val="0"/>
          <w:color w:val="172126"/>
          <w:sz w:val="19"/>
        </w:rPr>
        <w:t xml:space="preserve">(b) </w:t>
      </w:r>
      <w:hyperlink w:anchor="ek_5" w:history="1">
        <w:r>
          <w:rPr>
            <w:rFonts w:ascii="Avenir Light" w:hAnsi="Avenir Light" w:eastAsia="Avenir Light" w:cs="Avenir Light"/>
            <w:color w:val="188A42"/>
            <w:sz w:val="19"/>
            <w:szCs w:val="19"/>
          </w:rPr>
          <w:t xml:space="preserve">Ek-5</w:t>
        </w:r>
      </w:hyperlink>
      <w:r>
        <w:rPr>
          <w:rFonts w:ascii="Avenir Light" w:hAnsi="Avenir Light" w:eastAsia="Avenir Light" w:cs="Avenir Light"/>
          <w:b w:val="0"/>
          <w:i w:val="0"/>
          <w:color w:val="172126"/>
          <w:sz w:val="19"/>
        </w:rPr>
        <w:t xml:space="preserve">'in 1inci bölümünde uygulanabilir değer bulunmadığında, </w:t>
      </w:r>
      <w:hyperlink w:anchor="madde_29" w:history="1">
        <w:r>
          <w:rPr>
            <w:rFonts w:ascii="Avenir Light" w:hAnsi="Avenir Light" w:eastAsia="Avenir Light" w:cs="Avenir Light"/>
            <w:color w:val="188A42"/>
            <w:sz w:val="19"/>
            <w:szCs w:val="19"/>
          </w:rPr>
          <w:t xml:space="preserve">29 uncu madde</w:t>
        </w:r>
      </w:hyperlink>
      <w:r>
        <w:rPr>
          <w:rFonts w:ascii="Avenir Light" w:hAnsi="Avenir Light" w:eastAsia="Avenir Light" w:cs="Avenir Light"/>
          <w:b w:val="0"/>
          <w:i w:val="0"/>
          <w:color w:val="172126"/>
          <w:sz w:val="19"/>
        </w:rPr>
        <w:t xml:space="preserve">nin birinci fıkrasının (c) veya (d) bendi ile bağlantılı olarak diğer sabit değerler. Kademe 2a: İşletme, </w:t>
      </w:r>
      <w:hyperlink w:anchor="madde_29" w:history="1">
        <w:r>
          <w:rPr>
            <w:rFonts w:ascii="Avenir Light" w:hAnsi="Avenir Light" w:eastAsia="Avenir Light" w:cs="Avenir Light"/>
            <w:color w:val="188A42"/>
            <w:sz w:val="19"/>
            <w:szCs w:val="19"/>
          </w:rPr>
          <w:t xml:space="preserve">29 uncu madde</w:t>
        </w:r>
      </w:hyperlink>
      <w:r>
        <w:rPr>
          <w:rFonts w:ascii="Avenir Light" w:hAnsi="Avenir Light" w:eastAsia="Avenir Light" w:cs="Avenir Light"/>
          <w:b w:val="0"/>
          <w:i w:val="0"/>
          <w:color w:val="172126"/>
          <w:sz w:val="19"/>
        </w:rPr>
        <w:t xml:space="preserve">nin birinci fıkrasının (b) ve (c) bendi uyarınca ilgili yakıt veya malzeme için Bakanlıkça yayımlanan ulusal emisyon faktörlerini veya (ç) bendi uyarınca elde edilen değerleri uygular. Kademe 2b: İşletme </w:t>
      </w:r>
      <w:hyperlink w:anchor="madde_30" w:history="1">
        <w:r>
          <w:rPr>
            <w:rFonts w:ascii="Avenir Light" w:hAnsi="Avenir Light" w:eastAsia="Avenir Light" w:cs="Avenir Light"/>
            <w:color w:val="188A42"/>
            <w:sz w:val="19"/>
            <w:szCs w:val="19"/>
          </w:rPr>
          <w:t xml:space="preserve">30 uncu madde</w:t>
        </w:r>
      </w:hyperlink>
      <w:r>
        <w:rPr>
          <w:rFonts w:ascii="Avenir Light" w:hAnsi="Avenir Light" w:eastAsia="Avenir Light" w:cs="Avenir Light"/>
          <w:b w:val="0"/>
          <w:i w:val="0"/>
          <w:color w:val="172126"/>
          <w:sz w:val="19"/>
        </w:rPr>
        <w:t xml:space="preserve">den </w:t>
      </w:r>
      <w:hyperlink w:anchor="madde_33" w:history="1">
        <w:r>
          <w:rPr>
            <w:rFonts w:ascii="Avenir Light" w:hAnsi="Avenir Light" w:eastAsia="Avenir Light" w:cs="Avenir Light"/>
            <w:color w:val="188A42"/>
            <w:sz w:val="19"/>
            <w:szCs w:val="19"/>
          </w:rPr>
          <w:t xml:space="preserve">33 üncü madde</w:t>
        </w:r>
      </w:hyperlink>
      <w:r>
        <w:rPr>
          <w:rFonts w:ascii="Avenir Light" w:hAnsi="Avenir Light" w:eastAsia="Avenir Light" w:cs="Avenir Light"/>
          <w:b w:val="0"/>
          <w:i w:val="0"/>
          <w:color w:val="172126"/>
          <w:sz w:val="19"/>
        </w:rPr>
        <w:t xml:space="preserve">ye kadar ve </w:t>
      </w:r>
      <w:hyperlink w:anchor="madde_37" w:history="1">
        <w:r>
          <w:rPr>
            <w:rFonts w:ascii="Avenir Light" w:hAnsi="Avenir Light" w:eastAsia="Avenir Light" w:cs="Avenir Light"/>
            <w:color w:val="188A42"/>
            <w:sz w:val="19"/>
            <w:szCs w:val="19"/>
          </w:rPr>
          <w:t xml:space="preserve">37 nci madde</w:t>
        </w:r>
      </w:hyperlink>
      <w:r>
        <w:rPr>
          <w:rFonts w:ascii="Avenir Light" w:hAnsi="Avenir Light" w:eastAsia="Avenir Light" w:cs="Avenir Light"/>
          <w:b w:val="0"/>
          <w:i w:val="0"/>
          <w:color w:val="172126"/>
          <w:sz w:val="19"/>
        </w:rPr>
        <w:t>lere uygun olarak yılda en az bir kere belirlenen deneysel korelasyon ile bağlantılı olarak, aşağıda oluşturulmuş ikamelerin birine dayanan yakıt için emisyon faktörlerini belirler:</w:t>
      </w:r>
    </w:p>
    <w:p>
      <w:pPr>
        <w:pStyle w:val="LegalList"/>
      </w:pPr>
      <w:r>
        <w:rPr>
          <w:rFonts w:ascii="Avenir Light" w:hAnsi="Avenir Light" w:eastAsia="Avenir Light" w:cs="Avenir Light"/>
          <w:b w:val="0"/>
          <w:i w:val="0"/>
          <w:color w:val="172126"/>
          <w:sz w:val="19"/>
        </w:rPr>
        <w:t>(a) Rafineri veya çelik sanayisinde ortak olanlar dahil, belirli yağların veya gazların yoğunluk ölçümü,</w:t>
      </w:r>
    </w:p>
    <w:p>
      <w:pPr>
        <w:pStyle w:val="LegalList"/>
      </w:pPr>
      <w:r>
        <w:rPr>
          <w:rFonts w:ascii="Avenir Light" w:hAnsi="Avenir Light" w:eastAsia="Avenir Light" w:cs="Avenir Light"/>
          <w:b w:val="0"/>
          <w:i w:val="0"/>
          <w:color w:val="172126"/>
          <w:sz w:val="19"/>
        </w:rPr>
        <w:t xml:space="preserve">(b) Belirli kömür tipleri için net kalorifik değer. İşletme, korelasyonun ilgili ulusal ve uluslararası standartların gereksinimlerini karşılamasını ve sadece oluşturulan değer aralığına karşılık gelen ikame değerlerin uygulanmasını temin eder. Kademe 3: (a) İşletme, </w:t>
      </w:r>
      <w:hyperlink w:anchor="madde_30" w:history="1">
        <w:r>
          <w:rPr>
            <w:rFonts w:ascii="Avenir Light" w:hAnsi="Avenir Light" w:eastAsia="Avenir Light" w:cs="Avenir Light"/>
            <w:color w:val="188A42"/>
            <w:sz w:val="19"/>
            <w:szCs w:val="19"/>
          </w:rPr>
          <w:t xml:space="preserve">30 uncu madde</w:t>
        </w:r>
      </w:hyperlink>
      <w:r>
        <w:rPr>
          <w:rFonts w:ascii="Avenir Light" w:hAnsi="Avenir Light" w:eastAsia="Avenir Light" w:cs="Avenir Light"/>
          <w:b w:val="0"/>
          <w:i w:val="0"/>
          <w:color w:val="172126"/>
          <w:sz w:val="19"/>
        </w:rPr>
        <w:t xml:space="preserve">den </w:t>
      </w:r>
      <w:hyperlink w:anchor="madde_33" w:history="1">
        <w:r>
          <w:rPr>
            <w:rFonts w:ascii="Avenir Light" w:hAnsi="Avenir Light" w:eastAsia="Avenir Light" w:cs="Avenir Light"/>
            <w:color w:val="188A42"/>
            <w:sz w:val="19"/>
            <w:szCs w:val="19"/>
          </w:rPr>
          <w:t xml:space="preserve">33 üncü madde</w:t>
        </w:r>
      </w:hyperlink>
      <w:r>
        <w:rPr>
          <w:rFonts w:ascii="Avenir Light" w:hAnsi="Avenir Light" w:eastAsia="Avenir Light" w:cs="Avenir Light"/>
          <w:b w:val="0"/>
          <w:i w:val="0"/>
          <w:color w:val="172126"/>
          <w:sz w:val="19"/>
        </w:rPr>
        <w:t>ye kadar ilgili hükümler kapsamında emisyon faktörünü belirler.</w:t>
      </w:r>
    </w:p>
    <w:p>
      <w:pPr>
        <w:pStyle w:val="LegalList"/>
      </w:pPr>
      <w:r>
        <w:rPr>
          <w:rFonts w:ascii="Avenir Light" w:hAnsi="Avenir Light" w:eastAsia="Avenir Light" w:cs="Avenir Light"/>
          <w:b w:val="0"/>
          <w:i w:val="0"/>
          <w:color w:val="172126"/>
          <w:sz w:val="19"/>
        </w:rPr>
        <w:t>(b) İşletmenin Bakanlığın onayı ile deneysel korelasyonun belirsizliğinin ilgili yakıt veya malzemeye ait faaliyet verileri için uyması gereken kademe belirsizlik değerinin 1/3 ünden fazla olmadığını gösterdiği durumda kademe 2b de yer alan deneysel korelasyon sonuçları uygulanır.</w:t>
      </w:r>
    </w:p>
    <w:p>
      <w:pPr>
        <w:pStyle w:val="AnnexSubheading"/>
      </w:pPr>
      <w:r>
        <w:rPr>
          <w:rFonts w:ascii="Avenir Light" w:hAnsi="Avenir Light" w:eastAsia="Avenir Light" w:cs="Avenir Light"/>
          <w:b w:val="0"/>
          <w:i w:val="0"/>
          <w:color w:val="0D5F31"/>
          <w:sz w:val="21"/>
        </w:rPr>
        <w:t>2.2 Net Kalorifik Değer (NKD) İçin Kademeler</w:t>
      </w:r>
    </w:p>
    <w:p>
      <w:pPr>
        <w:pStyle w:val="ArticleText"/>
      </w:pPr>
      <w:r>
        <w:rPr>
          <w:rFonts w:ascii="Avenir Light" w:hAnsi="Avenir Light" w:eastAsia="Avenir Light" w:cs="Avenir Light"/>
          <w:b w:val="0"/>
          <w:i w:val="0"/>
          <w:color w:val="172126"/>
          <w:sz w:val="19"/>
        </w:rPr>
        <w:t>Kademe 1: İşletme aşağıdakilerden birini uygular:</w:t>
      </w:r>
    </w:p>
    <w:p>
      <w:pPr>
        <w:pStyle w:val="LegalList"/>
      </w:pPr>
      <w:r>
        <w:rPr>
          <w:rFonts w:ascii="Avenir Light" w:hAnsi="Avenir Light" w:eastAsia="Avenir Light" w:cs="Avenir Light"/>
          <w:b w:val="0"/>
          <w:i w:val="0"/>
          <w:color w:val="172126"/>
          <w:sz w:val="19"/>
        </w:rPr>
        <w:t xml:space="preserve">(a) </w:t>
      </w:r>
      <w:hyperlink w:anchor="ek_5" w:history="1">
        <w:r>
          <w:rPr>
            <w:rFonts w:ascii="Avenir Light" w:hAnsi="Avenir Light" w:eastAsia="Avenir Light" w:cs="Avenir Light"/>
            <w:color w:val="188A42"/>
            <w:sz w:val="19"/>
            <w:szCs w:val="19"/>
          </w:rPr>
          <w:t xml:space="preserve">Ek-5</w:t>
        </w:r>
      </w:hyperlink>
      <w:r>
        <w:rPr>
          <w:rFonts w:ascii="Avenir Light" w:hAnsi="Avenir Light" w:eastAsia="Avenir Light" w:cs="Avenir Light"/>
          <w:b w:val="0"/>
          <w:i w:val="0"/>
          <w:color w:val="172126"/>
          <w:sz w:val="19"/>
        </w:rPr>
        <w:t>'in birinci bölümünde listelenen standart faktörler;</w:t>
      </w:r>
    </w:p>
    <w:p>
      <w:pPr>
        <w:pStyle w:val="LegalList"/>
      </w:pPr>
      <w:r>
        <w:rPr>
          <w:rFonts w:ascii="Avenir Light" w:hAnsi="Avenir Light" w:eastAsia="Avenir Light" w:cs="Avenir Light"/>
          <w:b w:val="0"/>
          <w:i w:val="0"/>
          <w:color w:val="172126"/>
          <w:sz w:val="19"/>
        </w:rPr>
        <w:t xml:space="preserve">(b) </w:t>
      </w:r>
      <w:hyperlink w:anchor="ek_5" w:history="1">
        <w:r>
          <w:rPr>
            <w:rFonts w:ascii="Avenir Light" w:hAnsi="Avenir Light" w:eastAsia="Avenir Light" w:cs="Avenir Light"/>
            <w:color w:val="188A42"/>
            <w:sz w:val="19"/>
            <w:szCs w:val="19"/>
          </w:rPr>
          <w:t xml:space="preserve">Ek-5</w:t>
        </w:r>
      </w:hyperlink>
      <w:r>
        <w:rPr>
          <w:rFonts w:ascii="Avenir Light" w:hAnsi="Avenir Light" w:eastAsia="Avenir Light" w:cs="Avenir Light"/>
          <w:b w:val="0"/>
          <w:i w:val="0"/>
          <w:color w:val="172126"/>
          <w:sz w:val="19"/>
        </w:rPr>
        <w:t xml:space="preserve">'in birinci bölümünde uygulanabilir değer bulunmadığı durumda, </w:t>
      </w:r>
      <w:hyperlink w:anchor="madde_29" w:history="1">
        <w:r>
          <w:rPr>
            <w:rFonts w:ascii="Avenir Light" w:hAnsi="Avenir Light" w:eastAsia="Avenir Light" w:cs="Avenir Light"/>
            <w:color w:val="188A42"/>
            <w:sz w:val="19"/>
            <w:szCs w:val="19"/>
          </w:rPr>
          <w:t xml:space="preserve">29 uncu madde</w:t>
        </w:r>
      </w:hyperlink>
      <w:r>
        <w:rPr>
          <w:rFonts w:ascii="Avenir Light" w:hAnsi="Avenir Light" w:eastAsia="Avenir Light" w:cs="Avenir Light"/>
          <w:b w:val="0"/>
          <w:i w:val="0"/>
          <w:color w:val="172126"/>
          <w:sz w:val="19"/>
        </w:rPr>
        <w:t xml:space="preserve">nin birinci fıkrasının (ç) bendiyle bağlantılı olarak diğer sabit değerler. Kademe 2a: İşletme, </w:t>
      </w:r>
      <w:hyperlink w:anchor="madde_29" w:history="1">
        <w:r>
          <w:rPr>
            <w:rFonts w:ascii="Avenir Light" w:hAnsi="Avenir Light" w:eastAsia="Avenir Light" w:cs="Avenir Light"/>
            <w:color w:val="188A42"/>
            <w:sz w:val="19"/>
            <w:szCs w:val="19"/>
          </w:rPr>
          <w:t xml:space="preserve">29 uncu madde</w:t>
        </w:r>
      </w:hyperlink>
      <w:r>
        <w:rPr>
          <w:rFonts w:ascii="Avenir Light" w:hAnsi="Avenir Light" w:eastAsia="Avenir Light" w:cs="Avenir Light"/>
          <w:b w:val="0"/>
          <w:i w:val="0"/>
          <w:color w:val="172126"/>
          <w:sz w:val="19"/>
        </w:rPr>
        <w:t xml:space="preserve">nin birinci fıkrasının (b) ve (c) bendi uyarınca ilgili yakıt veya malzeme için net kalorifik değerleri veya (ç) bendi uyarınca elde edilen değerleri uygular. Kademe 2b: Ticari olarak işlem gören yakıtlar için, kabul edilmiş ulusal veya uluslararası standartlara dayanarak belirlenen ve yakıt tedarikçisi tarafından sağlanan ilgili yakıta ilişkin satın alma kayıtlarında yer alan net kalorifik değer kullanılır. Kademe 3: İşletme, </w:t>
      </w:r>
      <w:hyperlink w:anchor="madde_30" w:history="1">
        <w:r>
          <w:rPr>
            <w:rFonts w:ascii="Avenir Light" w:hAnsi="Avenir Light" w:eastAsia="Avenir Light" w:cs="Avenir Light"/>
            <w:color w:val="188A42"/>
            <w:sz w:val="19"/>
            <w:szCs w:val="19"/>
          </w:rPr>
          <w:t xml:space="preserve">30 uncu madde</w:t>
        </w:r>
      </w:hyperlink>
      <w:r>
        <w:rPr>
          <w:rFonts w:ascii="Avenir Light" w:hAnsi="Avenir Light" w:eastAsia="Avenir Light" w:cs="Avenir Light"/>
          <w:b w:val="0"/>
          <w:i w:val="0"/>
          <w:color w:val="172126"/>
          <w:sz w:val="19"/>
        </w:rPr>
        <w:t xml:space="preserve">den </w:t>
      </w:r>
      <w:hyperlink w:anchor="madde_33" w:history="1">
        <w:r>
          <w:rPr>
            <w:rFonts w:ascii="Avenir Light" w:hAnsi="Avenir Light" w:eastAsia="Avenir Light" w:cs="Avenir Light"/>
            <w:color w:val="188A42"/>
            <w:sz w:val="19"/>
            <w:szCs w:val="19"/>
          </w:rPr>
          <w:t xml:space="preserve">33 üncü madde</w:t>
        </w:r>
      </w:hyperlink>
      <w:r>
        <w:rPr>
          <w:rFonts w:ascii="Avenir Light" w:hAnsi="Avenir Light" w:eastAsia="Avenir Light" w:cs="Avenir Light"/>
          <w:b w:val="0"/>
          <w:i w:val="0"/>
          <w:color w:val="172126"/>
          <w:sz w:val="19"/>
        </w:rPr>
        <w:t>ye kadar ilgili hükümler kapsamında net kalorifik değeri belirler.</w:t>
      </w:r>
    </w:p>
    <w:p>
      <w:pPr>
        <w:pStyle w:val="AnnexSubheading"/>
      </w:pPr>
      <w:r>
        <w:rPr>
          <w:rFonts w:ascii="Avenir Light" w:hAnsi="Avenir Light" w:eastAsia="Avenir Light" w:cs="Avenir Light"/>
          <w:b w:val="0"/>
          <w:i w:val="0"/>
          <w:color w:val="0D5F31"/>
          <w:sz w:val="21"/>
        </w:rPr>
        <w:t>2.3 Yükseltgenme Faktörleri İçin Kademeler</w:t>
      </w:r>
    </w:p>
    <w:p>
      <w:pPr>
        <w:pStyle w:val="ArticleText"/>
      </w:pPr>
      <w:r>
        <w:rPr>
          <w:rFonts w:ascii="Avenir Light" w:hAnsi="Avenir Light" w:eastAsia="Avenir Light" w:cs="Avenir Light"/>
          <w:b w:val="0"/>
          <w:i w:val="0"/>
          <w:color w:val="172126"/>
          <w:sz w:val="19"/>
        </w:rPr>
        <w:t xml:space="preserve">Kademe 1: İşletme yükseltgenme faktörü olarak 1 değerini kullanır. Kademe 2: İşletme, </w:t>
      </w:r>
      <w:hyperlink w:anchor="madde_29" w:history="1">
        <w:r>
          <w:rPr>
            <w:rFonts w:ascii="Avenir Light" w:hAnsi="Avenir Light" w:eastAsia="Avenir Light" w:cs="Avenir Light"/>
            <w:color w:val="188A42"/>
            <w:sz w:val="19"/>
            <w:szCs w:val="19"/>
          </w:rPr>
          <w:t xml:space="preserve">29 uncu madde</w:t>
        </w:r>
      </w:hyperlink>
      <w:r>
        <w:rPr>
          <w:rFonts w:ascii="Avenir Light" w:hAnsi="Avenir Light" w:eastAsia="Avenir Light" w:cs="Avenir Light"/>
          <w:b w:val="0"/>
          <w:i w:val="0"/>
          <w:color w:val="172126"/>
          <w:sz w:val="19"/>
        </w:rPr>
        <w:t xml:space="preserve">nin birinci fıkrasının (b) bendi kapsamında ilgili yakıt için olan yükseltgenme faktörlerini uygular. Kademe 3: Yakıtlar için işletme, külde, sıvı haldeki atıklarda, diğer atıklarda ve yan ürünlerde yanmamış karbon miktarı ve CO haricinde tam olmayan yanma sonucunda oluşan diğer gaz formundaki karbona dayanarak faaliyete özgü faktörleri belirler. Kompozisyon verisi, </w:t>
      </w:r>
      <w:hyperlink w:anchor="madde_30" w:history="1">
        <w:r>
          <w:rPr>
            <w:rFonts w:ascii="Avenir Light" w:hAnsi="Avenir Light" w:eastAsia="Avenir Light" w:cs="Avenir Light"/>
            <w:color w:val="188A42"/>
            <w:sz w:val="19"/>
            <w:szCs w:val="19"/>
          </w:rPr>
          <w:t xml:space="preserve">30 uncu madde</w:t>
        </w:r>
      </w:hyperlink>
      <w:r>
        <w:rPr>
          <w:rFonts w:ascii="Avenir Light" w:hAnsi="Avenir Light" w:eastAsia="Avenir Light" w:cs="Avenir Light"/>
          <w:b w:val="0"/>
          <w:i w:val="0"/>
          <w:color w:val="172126"/>
          <w:sz w:val="19"/>
        </w:rPr>
        <w:t xml:space="preserve">den </w:t>
      </w:r>
      <w:hyperlink w:anchor="madde_33" w:history="1">
        <w:r>
          <w:rPr>
            <w:rFonts w:ascii="Avenir Light" w:hAnsi="Avenir Light" w:eastAsia="Avenir Light" w:cs="Avenir Light"/>
            <w:color w:val="188A42"/>
            <w:sz w:val="19"/>
            <w:szCs w:val="19"/>
          </w:rPr>
          <w:t xml:space="preserve">33 üncü madde</w:t>
        </w:r>
      </w:hyperlink>
      <w:r>
        <w:rPr>
          <w:rFonts w:ascii="Avenir Light" w:hAnsi="Avenir Light" w:eastAsia="Avenir Light" w:cs="Avenir Light"/>
          <w:b w:val="0"/>
          <w:i w:val="0"/>
          <w:color w:val="172126"/>
          <w:sz w:val="19"/>
        </w:rPr>
        <w:t>ye kadar olan maddeler kapsamında belirlenir.</w:t>
      </w:r>
    </w:p>
    <w:p>
      <w:pPr>
        <w:pStyle w:val="AnnexSubheading"/>
      </w:pPr>
      <w:r>
        <w:rPr>
          <w:rFonts w:ascii="Avenir Light" w:hAnsi="Avenir Light" w:eastAsia="Avenir Light" w:cs="Avenir Light"/>
          <w:b w:val="0"/>
          <w:i w:val="0"/>
          <w:color w:val="0D5F31"/>
          <w:sz w:val="21"/>
        </w:rPr>
        <w:t>2.4 Biyokütle Oranı İçin Kademeler</w:t>
      </w:r>
    </w:p>
    <w:p>
      <w:pPr>
        <w:pStyle w:val="ArticleText"/>
      </w:pPr>
      <w:r>
        <w:rPr>
          <w:rFonts w:ascii="Avenir Light" w:hAnsi="Avenir Light" w:eastAsia="Avenir Light" w:cs="Avenir Light"/>
          <w:b w:val="0"/>
          <w:i w:val="0"/>
          <w:color w:val="172126"/>
          <w:sz w:val="19"/>
        </w:rPr>
        <w:t xml:space="preserve">Kademe 1: İşletme, </w:t>
      </w:r>
      <w:hyperlink w:anchor="madde_39" w:history="1">
        <w:r>
          <w:rPr>
            <w:rFonts w:ascii="Avenir Light" w:hAnsi="Avenir Light" w:eastAsia="Avenir Light" w:cs="Avenir Light"/>
            <w:color w:val="188A42"/>
            <w:sz w:val="19"/>
            <w:szCs w:val="19"/>
          </w:rPr>
          <w:t xml:space="preserve">39 uncu madde</w:t>
        </w:r>
      </w:hyperlink>
      <w:r>
        <w:rPr>
          <w:rFonts w:ascii="Avenir Light" w:hAnsi="Avenir Light" w:eastAsia="Avenir Light" w:cs="Avenir Light"/>
          <w:b w:val="0"/>
          <w:i w:val="0"/>
          <w:color w:val="172126"/>
          <w:sz w:val="19"/>
        </w:rPr>
        <w:t xml:space="preserve">nin ikinci fıkrası ile bağlantılı olarak Bakanlık tarafından yayımlanan veya </w:t>
      </w:r>
      <w:hyperlink w:anchor="madde_29" w:history="1">
        <w:r>
          <w:rPr>
            <w:rFonts w:ascii="Avenir Light" w:hAnsi="Avenir Light" w:eastAsia="Avenir Light" w:cs="Avenir Light"/>
            <w:color w:val="188A42"/>
            <w:sz w:val="19"/>
            <w:szCs w:val="19"/>
          </w:rPr>
          <w:t xml:space="preserve">29 uncu madde</w:t>
        </w:r>
      </w:hyperlink>
      <w:r>
        <w:rPr>
          <w:rFonts w:ascii="Avenir Light" w:hAnsi="Avenir Light" w:eastAsia="Avenir Light" w:cs="Avenir Light"/>
          <w:b w:val="0"/>
          <w:i w:val="0"/>
          <w:color w:val="172126"/>
          <w:sz w:val="19"/>
        </w:rPr>
        <w:t xml:space="preserve">nin birinci fıkrası ile bağlantılı olarak belirlenen bir değeri uygular. Kademe 2: İşletme, </w:t>
      </w:r>
      <w:hyperlink w:anchor="madde_37" w:history="1">
        <w:r>
          <w:rPr>
            <w:rFonts w:ascii="Avenir Light" w:hAnsi="Avenir Light" w:eastAsia="Avenir Light" w:cs="Avenir Light"/>
            <w:color w:val="188A42"/>
            <w:sz w:val="19"/>
            <w:szCs w:val="19"/>
          </w:rPr>
          <w:t xml:space="preserve">37 inci madde</w:t>
        </w:r>
      </w:hyperlink>
      <w:r>
        <w:rPr>
          <w:rFonts w:ascii="Avenir Light" w:hAnsi="Avenir Light" w:eastAsia="Avenir Light" w:cs="Avenir Light"/>
          <w:b w:val="0"/>
          <w:i w:val="0"/>
          <w:color w:val="172126"/>
          <w:sz w:val="19"/>
        </w:rPr>
        <w:t xml:space="preserve">nin ikinci fıkrası ile uyarınca onaylanmış bir tahmin yöntemini uygular. Kademe 3: İşletme, </w:t>
      </w:r>
      <w:hyperlink w:anchor="madde_37" w:history="1">
        <w:r>
          <w:rPr>
            <w:rFonts w:ascii="Avenir Light" w:hAnsi="Avenir Light" w:eastAsia="Avenir Light" w:cs="Avenir Light"/>
            <w:color w:val="188A42"/>
            <w:sz w:val="19"/>
            <w:szCs w:val="19"/>
          </w:rPr>
          <w:t xml:space="preserve">37 inci madde</w:t>
        </w:r>
      </w:hyperlink>
      <w:r>
        <w:rPr>
          <w:rFonts w:ascii="Avenir Light" w:hAnsi="Avenir Light" w:eastAsia="Avenir Light" w:cs="Avenir Light"/>
          <w:b w:val="0"/>
          <w:i w:val="0"/>
          <w:color w:val="172126"/>
          <w:sz w:val="19"/>
        </w:rPr>
        <w:t xml:space="preserve">nin ikinci fıkrası ve </w:t>
      </w:r>
      <w:hyperlink w:anchor="madde_30" w:history="1">
        <w:r>
          <w:rPr>
            <w:rFonts w:ascii="Avenir Light" w:hAnsi="Avenir Light" w:eastAsia="Avenir Light" w:cs="Avenir Light"/>
            <w:color w:val="188A42"/>
            <w:sz w:val="19"/>
            <w:szCs w:val="19"/>
          </w:rPr>
          <w:t xml:space="preserve">30 uncu madde</w:t>
        </w:r>
      </w:hyperlink>
      <w:r>
        <w:rPr>
          <w:rFonts w:ascii="Avenir Light" w:hAnsi="Avenir Light" w:eastAsia="Avenir Light" w:cs="Avenir Light"/>
          <w:b w:val="0"/>
          <w:i w:val="0"/>
          <w:color w:val="172126"/>
          <w:sz w:val="19"/>
        </w:rPr>
        <w:t xml:space="preserve">den </w:t>
      </w:r>
      <w:hyperlink w:anchor="madde_33" w:history="1">
        <w:r>
          <w:rPr>
            <w:rFonts w:ascii="Avenir Light" w:hAnsi="Avenir Light" w:eastAsia="Avenir Light" w:cs="Avenir Light"/>
            <w:color w:val="188A42"/>
            <w:sz w:val="19"/>
            <w:szCs w:val="19"/>
          </w:rPr>
          <w:t xml:space="preserve">33 üncü madde</w:t>
        </w:r>
      </w:hyperlink>
      <w:r>
        <w:rPr>
          <w:rFonts w:ascii="Avenir Light" w:hAnsi="Avenir Light" w:eastAsia="Avenir Light" w:cs="Avenir Light"/>
          <w:b w:val="0"/>
          <w:i w:val="0"/>
          <w:color w:val="172126"/>
          <w:sz w:val="19"/>
        </w:rPr>
        <w:t xml:space="preserve">ye kadar olan hükümler çerçevesinde analiz yapar. İşletmenin </w:t>
      </w:r>
      <w:hyperlink w:anchor="madde_37" w:history="1">
        <w:r>
          <w:rPr>
            <w:rFonts w:ascii="Avenir Light" w:hAnsi="Avenir Light" w:eastAsia="Avenir Light" w:cs="Avenir Light"/>
            <w:color w:val="188A42"/>
            <w:sz w:val="19"/>
            <w:szCs w:val="19"/>
          </w:rPr>
          <w:t xml:space="preserve">37 inci madde</w:t>
        </w:r>
      </w:hyperlink>
      <w:r>
        <w:rPr>
          <w:rFonts w:ascii="Avenir Light" w:hAnsi="Avenir Light" w:eastAsia="Avenir Light" w:cs="Avenir Light"/>
          <w:b w:val="0"/>
          <w:i w:val="0"/>
          <w:color w:val="172126"/>
          <w:sz w:val="19"/>
        </w:rPr>
        <w:t>nin birinci fıkrası uyarınca fosil kesrini %100 aldığı durumda biyokütle kesrine herhangi bir kademe uygulanmaz.</w:t>
      </w:r>
    </w:p>
    <w:p>
      <w:pPr>
        <w:pStyle w:val="AnnexSubheading"/>
      </w:pPr>
      <w:r>
        <w:rPr>
          <w:rFonts w:ascii="Avenir Light" w:hAnsi="Avenir Light" w:eastAsia="Avenir Light" w:cs="Avenir Light"/>
          <w:b w:val="0"/>
          <w:i w:val="0"/>
          <w:color w:val="0D5F31"/>
          <w:sz w:val="21"/>
        </w:rPr>
        <w:t>3. Kütle Dengesi Yönteminde Hesaplama Faktörleri İçin Kademelerin Tanımı</w:t>
      </w:r>
    </w:p>
    <w:p>
      <w:pPr>
        <w:pStyle w:val="ArticleText"/>
      </w:pPr>
      <w:r>
        <w:rPr>
          <w:rFonts w:ascii="Avenir Light" w:hAnsi="Avenir Light" w:eastAsia="Avenir Light" w:cs="Avenir Light"/>
          <w:b w:val="0"/>
          <w:i w:val="0"/>
          <w:color w:val="172126"/>
          <w:sz w:val="19"/>
        </w:rPr>
        <w:t xml:space="preserve">İşletme, </w:t>
      </w:r>
      <w:hyperlink w:anchor="madde_23" w:history="1">
        <w:r>
          <w:rPr>
            <w:rFonts w:ascii="Avenir Light" w:hAnsi="Avenir Light" w:eastAsia="Avenir Light" w:cs="Avenir Light"/>
            <w:color w:val="188A42"/>
            <w:sz w:val="19"/>
            <w:szCs w:val="19"/>
          </w:rPr>
          <w:t xml:space="preserve">23 üncü madde</w:t>
        </w:r>
      </w:hyperlink>
      <w:r>
        <w:rPr>
          <w:rFonts w:ascii="Avenir Light" w:hAnsi="Avenir Light" w:eastAsia="Avenir Light" w:cs="Avenir Light"/>
          <w:b w:val="0"/>
          <w:i w:val="0"/>
          <w:color w:val="172126"/>
          <w:sz w:val="19"/>
        </w:rPr>
        <w:t xml:space="preserve"> kapsamında kütle dengesini kullandığı durumda, bu bölümde yer alan kademe tanımlarını kullanır.</w:t>
      </w:r>
    </w:p>
    <w:p>
      <w:pPr>
        <w:pStyle w:val="AnnexSubheading"/>
      </w:pPr>
      <w:r>
        <w:rPr>
          <w:rFonts w:ascii="Avenir Light" w:hAnsi="Avenir Light" w:eastAsia="Avenir Light" w:cs="Avenir Light"/>
          <w:b w:val="0"/>
          <w:i w:val="0"/>
          <w:color w:val="0D5F31"/>
          <w:sz w:val="21"/>
        </w:rPr>
        <w:t>3.1 Karbon İçeriği İçin Kademeler</w:t>
      </w:r>
    </w:p>
    <w:p>
      <w:pPr>
        <w:pStyle w:val="ArticleText"/>
      </w:pPr>
      <w:r>
        <w:rPr>
          <w:rFonts w:ascii="Avenir Light" w:hAnsi="Avenir Light" w:eastAsia="Avenir Light" w:cs="Avenir Light"/>
          <w:b w:val="0"/>
          <w:i w:val="0"/>
          <w:color w:val="172126"/>
          <w:sz w:val="19"/>
        </w:rPr>
        <w:t>İşletme burada listelenen kademelerden birini kullanır. Bir emisyon faktöründen karbon içeriğini hesaplamak için, işletme aşağıdaki denklemleri kullanır:</w:t>
      </w:r>
    </w:p>
    <w:p>
      <w:pPr>
        <w:pStyle w:val="LegalList"/>
      </w:pPr>
      <w:r>
        <w:rPr>
          <w:rFonts w:ascii="Avenir Light" w:hAnsi="Avenir Light" w:eastAsia="Avenir Light" w:cs="Avenir Light"/>
          <w:b w:val="0"/>
          <w:i w:val="0"/>
          <w:color w:val="172126"/>
          <w:sz w:val="19"/>
        </w:rPr>
        <w:t>(a) t CO 2 /TJ olarak ifade edilen emisyon faktörleri için: C = (EF × NKD) / f</w:t>
      </w:r>
    </w:p>
    <w:p>
      <w:pPr>
        <w:pStyle w:val="LegalList"/>
      </w:pPr>
      <w:r>
        <w:rPr>
          <w:rFonts w:ascii="Avenir Light" w:hAnsi="Avenir Light" w:eastAsia="Avenir Light" w:cs="Avenir Light"/>
          <w:b w:val="0"/>
          <w:i w:val="0"/>
          <w:color w:val="172126"/>
          <w:sz w:val="19"/>
        </w:rPr>
        <w:t xml:space="preserve">(b) t CO 2 /t olarak ifade edilen emisyon faktörleri için: C = EF / f Bu formüllerde, C oran (ton cinsinde ürün başına ton cinsinde karbon) olarak ifade edilen karbon içeriği, EF emisyon faktörü, NKD net kalorifik değer, f ise </w:t>
      </w:r>
      <w:hyperlink w:anchor="madde_34" w:history="1">
        <w:r>
          <w:rPr>
            <w:rFonts w:ascii="Avenir Light" w:hAnsi="Avenir Light" w:eastAsia="Avenir Light" w:cs="Avenir Light"/>
            <w:color w:val="188A42"/>
            <w:sz w:val="19"/>
            <w:szCs w:val="19"/>
          </w:rPr>
          <w:t xml:space="preserve">34 üncü madde</w:t>
        </w:r>
      </w:hyperlink>
      <w:r>
        <w:rPr>
          <w:rFonts w:ascii="Avenir Light" w:hAnsi="Avenir Light" w:eastAsia="Avenir Light" w:cs="Avenir Light"/>
          <w:b w:val="0"/>
          <w:i w:val="0"/>
          <w:color w:val="172126"/>
          <w:sz w:val="19"/>
        </w:rPr>
        <w:t>nin üçüncü fıkrasında belirtilen değerdir. Karışık bir yakıt veya malzeme için biyokütle oranının belirleneceği durumlarda, tanımlanmış kademeler toplam karbon içeriği ile bağlantılı olur. Karbonun biyokütle oranı, bu ekin 2.4’ünde tanımlanan kademeler kullanılarak belirlenir. Kademe 1: İşletme, aşağıdakilerden birini uygular:</w:t>
      </w:r>
    </w:p>
    <w:p>
      <w:pPr>
        <w:pStyle w:val="LegalList"/>
      </w:pPr>
      <w:r>
        <w:rPr>
          <w:rFonts w:ascii="Avenir Light" w:hAnsi="Avenir Light" w:eastAsia="Avenir Light" w:cs="Avenir Light"/>
          <w:b w:val="0"/>
          <w:i w:val="0"/>
          <w:color w:val="172126"/>
          <w:sz w:val="19"/>
        </w:rPr>
        <w:t xml:space="preserve">(a) </w:t>
      </w:r>
      <w:hyperlink w:anchor="ek_5" w:history="1">
        <w:r>
          <w:rPr>
            <w:rFonts w:ascii="Avenir Light" w:hAnsi="Avenir Light" w:eastAsia="Avenir Light" w:cs="Avenir Light"/>
            <w:color w:val="188A42"/>
            <w:sz w:val="19"/>
            <w:szCs w:val="19"/>
          </w:rPr>
          <w:t xml:space="preserve">Ek-5</w:t>
        </w:r>
      </w:hyperlink>
      <w:r>
        <w:rPr>
          <w:rFonts w:ascii="Avenir Light" w:hAnsi="Avenir Light" w:eastAsia="Avenir Light" w:cs="Avenir Light"/>
          <w:b w:val="0"/>
          <w:i w:val="0"/>
          <w:color w:val="172126"/>
          <w:sz w:val="19"/>
        </w:rPr>
        <w:t>'in 1 inci ve 2 nci bölümünde listelenen standart faktörlerden çıkartılan karbon içeriği,</w:t>
      </w:r>
    </w:p>
    <w:p>
      <w:pPr>
        <w:pStyle w:val="LegalList"/>
      </w:pPr>
      <w:r>
        <w:rPr>
          <w:rFonts w:ascii="Avenir Light" w:hAnsi="Avenir Light" w:eastAsia="Avenir Light" w:cs="Avenir Light"/>
          <w:b w:val="0"/>
          <w:i w:val="0"/>
          <w:color w:val="172126"/>
          <w:sz w:val="19"/>
        </w:rPr>
        <w:t xml:space="preserve">(b) </w:t>
      </w:r>
      <w:hyperlink w:anchor="ek_5" w:history="1">
        <w:r>
          <w:rPr>
            <w:rFonts w:ascii="Avenir Light" w:hAnsi="Avenir Light" w:eastAsia="Avenir Light" w:cs="Avenir Light"/>
            <w:color w:val="188A42"/>
            <w:sz w:val="19"/>
            <w:szCs w:val="19"/>
          </w:rPr>
          <w:t xml:space="preserve">Ek-5</w:t>
        </w:r>
      </w:hyperlink>
      <w:r>
        <w:rPr>
          <w:rFonts w:ascii="Avenir Light" w:hAnsi="Avenir Light" w:eastAsia="Avenir Light" w:cs="Avenir Light"/>
          <w:b w:val="0"/>
          <w:i w:val="0"/>
          <w:color w:val="172126"/>
          <w:sz w:val="19"/>
        </w:rPr>
        <w:t xml:space="preserve">'in 1 inci ve 2 nci bölümünde uygulanabilir değer bulunmadığı durumda, </w:t>
      </w:r>
      <w:hyperlink w:anchor="madde_29" w:history="1">
        <w:r>
          <w:rPr>
            <w:rFonts w:ascii="Avenir Light" w:hAnsi="Avenir Light" w:eastAsia="Avenir Light" w:cs="Avenir Light"/>
            <w:color w:val="188A42"/>
            <w:sz w:val="19"/>
            <w:szCs w:val="19"/>
          </w:rPr>
          <w:t xml:space="preserve">29 uncu madde</w:t>
        </w:r>
      </w:hyperlink>
      <w:r>
        <w:rPr>
          <w:rFonts w:ascii="Avenir Light" w:hAnsi="Avenir Light" w:eastAsia="Avenir Light" w:cs="Avenir Light"/>
          <w:b w:val="0"/>
          <w:i w:val="0"/>
          <w:color w:val="172126"/>
          <w:sz w:val="19"/>
        </w:rPr>
        <w:t xml:space="preserve">nin birinci fıkrasına ait (ç) bendi kapsamındaki diğer sabit değerler. Kademe 2a: İşletme, </w:t>
      </w:r>
      <w:hyperlink w:anchor="madde_29" w:history="1">
        <w:r>
          <w:rPr>
            <w:rFonts w:ascii="Avenir Light" w:hAnsi="Avenir Light" w:eastAsia="Avenir Light" w:cs="Avenir Light"/>
            <w:color w:val="188A42"/>
            <w:sz w:val="19"/>
            <w:szCs w:val="19"/>
          </w:rPr>
          <w:t xml:space="preserve">29 uncu madde</w:t>
        </w:r>
      </w:hyperlink>
      <w:r>
        <w:rPr>
          <w:rFonts w:ascii="Avenir Light" w:hAnsi="Avenir Light" w:eastAsia="Avenir Light" w:cs="Avenir Light"/>
          <w:b w:val="0"/>
          <w:i w:val="0"/>
          <w:color w:val="172126"/>
          <w:sz w:val="19"/>
        </w:rPr>
        <w:t xml:space="preserve">nin birinci fıkrasının (b) ve (c) bendi uyarınca ilgili yakıt veya malzeme için karbon içeriğini veya (ç) bendi uyarınca elde edilen değerleri uygular. Kademe 2b: İşletme, </w:t>
      </w:r>
      <w:hyperlink w:anchor="madde_30" w:history="1">
        <w:r>
          <w:rPr>
            <w:rFonts w:ascii="Avenir Light" w:hAnsi="Avenir Light" w:eastAsia="Avenir Light" w:cs="Avenir Light"/>
            <w:color w:val="188A42"/>
            <w:sz w:val="19"/>
            <w:szCs w:val="19"/>
          </w:rPr>
          <w:t xml:space="preserve">30 uncu madde</w:t>
        </w:r>
      </w:hyperlink>
      <w:r>
        <w:rPr>
          <w:rFonts w:ascii="Avenir Light" w:hAnsi="Avenir Light" w:eastAsia="Avenir Light" w:cs="Avenir Light"/>
          <w:b w:val="0"/>
          <w:i w:val="0"/>
          <w:color w:val="172126"/>
          <w:sz w:val="19"/>
        </w:rPr>
        <w:t xml:space="preserve">den </w:t>
      </w:r>
      <w:hyperlink w:anchor="madde_33" w:history="1">
        <w:r>
          <w:rPr>
            <w:rFonts w:ascii="Avenir Light" w:hAnsi="Avenir Light" w:eastAsia="Avenir Light" w:cs="Avenir Light"/>
            <w:color w:val="188A42"/>
            <w:sz w:val="19"/>
            <w:szCs w:val="19"/>
          </w:rPr>
          <w:t xml:space="preserve">33 üncü madde</w:t>
        </w:r>
      </w:hyperlink>
      <w:r>
        <w:rPr>
          <w:rFonts w:ascii="Avenir Light" w:hAnsi="Avenir Light" w:eastAsia="Avenir Light" w:cs="Avenir Light"/>
          <w:b w:val="0"/>
          <w:i w:val="0"/>
          <w:color w:val="172126"/>
          <w:sz w:val="19"/>
        </w:rPr>
        <w:t>ye kadar olan maddeler kapsamında, yılda en az bir kere belirlenen deneysel korelasyon ile bağlantılı olarak, aşağıda oluşturulmuş ikamelerin bir tanesine dayanan yakıt için emisyon faktörlerinden karbon içeriğini belirler:</w:t>
      </w:r>
    </w:p>
    <w:p>
      <w:pPr>
        <w:pStyle w:val="LegalList"/>
      </w:pPr>
      <w:r>
        <w:rPr>
          <w:rFonts w:ascii="Avenir Light" w:hAnsi="Avenir Light" w:eastAsia="Avenir Light" w:cs="Avenir Light"/>
          <w:b w:val="0"/>
          <w:i w:val="0"/>
          <w:color w:val="172126"/>
          <w:sz w:val="19"/>
        </w:rPr>
        <w:t>(a) Rafineri veya çelik sanayisinde ortak olanlar dahil, belirli yağların veya gazların yoğunluk ölçümü,</w:t>
      </w:r>
    </w:p>
    <w:p>
      <w:pPr>
        <w:pStyle w:val="LegalList"/>
      </w:pPr>
      <w:r>
        <w:rPr>
          <w:rFonts w:ascii="Avenir Light" w:hAnsi="Avenir Light" w:eastAsia="Avenir Light" w:cs="Avenir Light"/>
          <w:b w:val="0"/>
          <w:i w:val="0"/>
          <w:color w:val="172126"/>
          <w:sz w:val="19"/>
        </w:rPr>
        <w:t xml:space="preserve">(b) Belirli kömür tipleri için net kalorifik değer. İşletme korelasyonun ilgili ulusal ve uluslararası standartların gereksinimlerini karşılamasını ve sadece oluşturulduğu aralıkta bulunan ikame değerlerine uygulanmasını temin eder. Kademe 3: (a) İşletme, </w:t>
      </w:r>
      <w:hyperlink w:anchor="madde_30" w:history="1">
        <w:r>
          <w:rPr>
            <w:rFonts w:ascii="Avenir Light" w:hAnsi="Avenir Light" w:eastAsia="Avenir Light" w:cs="Avenir Light"/>
            <w:color w:val="188A42"/>
            <w:sz w:val="19"/>
            <w:szCs w:val="19"/>
          </w:rPr>
          <w:t xml:space="preserve">30 uncu madde</w:t>
        </w:r>
      </w:hyperlink>
      <w:r>
        <w:rPr>
          <w:rFonts w:ascii="Avenir Light" w:hAnsi="Avenir Light" w:eastAsia="Avenir Light" w:cs="Avenir Light"/>
          <w:b w:val="0"/>
          <w:i w:val="0"/>
          <w:color w:val="172126"/>
          <w:sz w:val="19"/>
        </w:rPr>
        <w:t xml:space="preserve">den </w:t>
      </w:r>
      <w:hyperlink w:anchor="madde_33" w:history="1">
        <w:r>
          <w:rPr>
            <w:rFonts w:ascii="Avenir Light" w:hAnsi="Avenir Light" w:eastAsia="Avenir Light" w:cs="Avenir Light"/>
            <w:color w:val="188A42"/>
            <w:sz w:val="19"/>
            <w:szCs w:val="19"/>
          </w:rPr>
          <w:t xml:space="preserve">33 üncü madde</w:t>
        </w:r>
      </w:hyperlink>
      <w:r>
        <w:rPr>
          <w:rFonts w:ascii="Avenir Light" w:hAnsi="Avenir Light" w:eastAsia="Avenir Light" w:cs="Avenir Light"/>
          <w:b w:val="0"/>
          <w:i w:val="0"/>
          <w:color w:val="172126"/>
          <w:sz w:val="19"/>
        </w:rPr>
        <w:t>ye kadar ilgili hükümler kapsamında karbon içeriğini belirler.</w:t>
      </w:r>
    </w:p>
    <w:p>
      <w:pPr>
        <w:pStyle w:val="LegalList"/>
      </w:pPr>
      <w:r>
        <w:rPr>
          <w:rFonts w:ascii="Avenir Light" w:hAnsi="Avenir Light" w:eastAsia="Avenir Light" w:cs="Avenir Light"/>
          <w:b w:val="0"/>
          <w:i w:val="0"/>
          <w:color w:val="172126"/>
          <w:sz w:val="19"/>
        </w:rPr>
        <w:t>(b) İşletmenin Bakanlığın onayı ile deneysel korelasyonun belirsizliğinin ilgili yakıt veya malzeme ye ait faaliyet verileri için uyması gereken kademe belirsizlik değerinin 1/3 ünden fazla olmadığını gösterdiği durumda kademe 2b de yer alan deneysel korelasyon sonuçları uygulanır.</w:t>
      </w:r>
    </w:p>
    <w:p>
      <w:pPr>
        <w:pStyle w:val="AnnexSubheading"/>
      </w:pPr>
      <w:r>
        <w:rPr>
          <w:rFonts w:ascii="Avenir Light" w:hAnsi="Avenir Light" w:eastAsia="Avenir Light" w:cs="Avenir Light"/>
          <w:b w:val="0"/>
          <w:i w:val="0"/>
          <w:color w:val="0D5F31"/>
          <w:sz w:val="21"/>
        </w:rPr>
        <w:t>3.2 Net Kalorifik Değerler İçin Kademeler</w:t>
      </w:r>
    </w:p>
    <w:p>
      <w:pPr>
        <w:pStyle w:val="ArticleText"/>
      </w:pPr>
      <w:r>
        <w:rPr>
          <w:rFonts w:ascii="Avenir Light" w:hAnsi="Avenir Light" w:eastAsia="Avenir Light" w:cs="Avenir Light"/>
          <w:b w:val="0"/>
          <w:i w:val="0"/>
          <w:color w:val="172126"/>
          <w:sz w:val="19"/>
        </w:rPr>
        <w:t>Bu Ekin 2.2 maddesinde belirtilen kademeler kullanılır.</w:t>
      </w:r>
    </w:p>
    <w:p>
      <w:pPr>
        <w:pStyle w:val="AnnexSubheading"/>
      </w:pPr>
      <w:r>
        <w:rPr>
          <w:rFonts w:ascii="Avenir Light" w:hAnsi="Avenir Light" w:eastAsia="Avenir Light" w:cs="Avenir Light"/>
          <w:b w:val="0"/>
          <w:i w:val="0"/>
          <w:color w:val="0D5F31"/>
          <w:sz w:val="21"/>
        </w:rPr>
        <w:t>3.3 Biyokütle oranı için kademeler</w:t>
      </w:r>
    </w:p>
    <w:p>
      <w:pPr>
        <w:pStyle w:val="ArticleText"/>
      </w:pPr>
      <w:r>
        <w:rPr>
          <w:rFonts w:ascii="Avenir Light" w:hAnsi="Avenir Light" w:eastAsia="Avenir Light" w:cs="Avenir Light"/>
          <w:b w:val="0"/>
          <w:i w:val="0"/>
          <w:color w:val="172126"/>
          <w:sz w:val="19"/>
        </w:rPr>
        <w:t>Bu Ekin 2.4 maddesinde belirlenen kademeler uygulanır.</w:t>
      </w:r>
    </w:p>
    <w:p>
      <w:pPr>
        <w:pStyle w:val="AnnexSubheading"/>
      </w:pPr>
      <w:r>
        <w:rPr>
          <w:rFonts w:ascii="Avenir Light" w:hAnsi="Avenir Light" w:eastAsia="Avenir Light" w:cs="Avenir Light"/>
          <w:b w:val="0"/>
          <w:i w:val="0"/>
          <w:color w:val="0D5F31"/>
          <w:sz w:val="21"/>
        </w:rPr>
        <w:t>4. Karbonat Dekompozisyonundan Kaynaklanan Proses Emisyonları İçin Hesaplama</w:t>
      </w:r>
    </w:p>
    <w:p>
      <w:pPr>
        <w:pStyle w:val="ArticleText"/>
      </w:pPr>
      <w:r>
        <w:rPr>
          <w:rFonts w:ascii="Avenir Light" w:hAnsi="Avenir Light" w:eastAsia="Avenir Light" w:cs="Avenir Light"/>
          <w:b w:val="0"/>
          <w:i w:val="0"/>
          <w:color w:val="172126"/>
          <w:sz w:val="19"/>
        </w:rPr>
        <w:t xml:space="preserve">Faktörlerine Ait Kademelerin Tanımı </w:t>
      </w:r>
      <w:hyperlink w:anchor="madde_22" w:history="1">
        <w:r>
          <w:rPr>
            <w:rFonts w:ascii="Avenir Light" w:hAnsi="Avenir Light" w:eastAsia="Avenir Light" w:cs="Avenir Light"/>
            <w:color w:val="188A42"/>
            <w:sz w:val="19"/>
            <w:szCs w:val="19"/>
          </w:rPr>
          <w:t xml:space="preserve">22 nci madde</w:t>
        </w:r>
      </w:hyperlink>
      <w:r>
        <w:rPr>
          <w:rFonts w:ascii="Avenir Light" w:hAnsi="Avenir Light" w:eastAsia="Avenir Light" w:cs="Avenir Light"/>
          <w:b w:val="0"/>
          <w:i w:val="0"/>
          <w:color w:val="172126"/>
          <w:sz w:val="19"/>
        </w:rPr>
        <w:t>nin ikinci fıkrası kapsamında standart yöntem kullanılarak izlenen proses emisyonlarına yönelik emisyon faktörü için aşağıdaki durumlara karşılık gelen kademe tanımları uygulanır:</w:t>
      </w:r>
    </w:p>
    <w:p>
      <w:pPr>
        <w:pStyle w:val="LegalList"/>
      </w:pPr>
      <w:r>
        <w:rPr>
          <w:rFonts w:ascii="Avenir Light" w:hAnsi="Avenir Light" w:eastAsia="Avenir Light" w:cs="Avenir Light"/>
          <w:b w:val="0"/>
          <w:i w:val="0"/>
          <w:color w:val="172126"/>
          <w:sz w:val="19"/>
        </w:rPr>
        <w:t>(a) Yöntem A: Girdi bazlı, prosese giren malzeme miktarı ile ilgili emisyon faktörü ve faaliyet verisi,</w:t>
      </w:r>
    </w:p>
    <w:p>
      <w:pPr>
        <w:pStyle w:val="LegalList"/>
      </w:pPr>
      <w:r>
        <w:rPr>
          <w:rFonts w:ascii="Avenir Light" w:hAnsi="Avenir Light" w:eastAsia="Avenir Light" w:cs="Avenir Light"/>
          <w:b w:val="0"/>
          <w:i w:val="0"/>
          <w:color w:val="172126"/>
          <w:sz w:val="19"/>
        </w:rPr>
        <w:t>(b) Yöntem B: Çıktı bazlı, prosesten çıkan malzeme miktarı ile ilgili emisyon faktörü ve faaliyet verisi.</w:t>
      </w:r>
    </w:p>
    <w:p>
      <w:pPr>
        <w:pStyle w:val="AnnexSubheading"/>
      </w:pPr>
      <w:r>
        <w:rPr>
          <w:rFonts w:ascii="Avenir Light" w:hAnsi="Avenir Light" w:eastAsia="Avenir Light" w:cs="Avenir Light"/>
          <w:b w:val="0"/>
          <w:i w:val="0"/>
          <w:color w:val="0D5F31"/>
          <w:sz w:val="21"/>
        </w:rPr>
        <w:t>4.1 Yöntem A Kullanan Emisyon Faktörü İçin Kademeler</w:t>
      </w:r>
    </w:p>
    <w:p>
      <w:pPr>
        <w:pStyle w:val="ArticleText"/>
      </w:pPr>
      <w:r>
        <w:rPr>
          <w:rFonts w:ascii="Avenir Light" w:hAnsi="Avenir Light" w:eastAsia="Avenir Light" w:cs="Avenir Light"/>
          <w:b w:val="0"/>
          <w:i w:val="0"/>
          <w:color w:val="172126"/>
          <w:sz w:val="19"/>
        </w:rPr>
        <w:t>Kademe 1: İşletme aşağıdakilerden birini kullanır:</w:t>
      </w:r>
    </w:p>
    <w:p>
      <w:pPr>
        <w:pStyle w:val="LegalList"/>
      </w:pPr>
      <w:r>
        <w:rPr>
          <w:rFonts w:ascii="Avenir Light" w:hAnsi="Avenir Light" w:eastAsia="Avenir Light" w:cs="Avenir Light"/>
          <w:b w:val="0"/>
          <w:i w:val="0"/>
          <w:color w:val="172126"/>
          <w:sz w:val="19"/>
        </w:rPr>
        <w:t xml:space="preserve">(a) </w:t>
      </w:r>
      <w:hyperlink w:anchor="ek_5" w:history="1">
        <w:r>
          <w:rPr>
            <w:rFonts w:ascii="Avenir Light" w:hAnsi="Avenir Light" w:eastAsia="Avenir Light" w:cs="Avenir Light"/>
            <w:color w:val="188A42"/>
            <w:sz w:val="19"/>
            <w:szCs w:val="19"/>
          </w:rPr>
          <w:t xml:space="preserve">Ek-5</w:t>
        </w:r>
      </w:hyperlink>
      <w:r>
        <w:rPr>
          <w:rFonts w:ascii="Avenir Light" w:hAnsi="Avenir Light" w:eastAsia="Avenir Light" w:cs="Avenir Light"/>
          <w:b w:val="0"/>
          <w:i w:val="0"/>
          <w:color w:val="172126"/>
          <w:sz w:val="19"/>
        </w:rPr>
        <w:t xml:space="preserve"> bölüm 2 tablo 2 de verilen standart faktörler</w:t>
      </w:r>
    </w:p>
    <w:p>
      <w:pPr>
        <w:pStyle w:val="LegalList"/>
      </w:pPr>
      <w:r>
        <w:rPr>
          <w:rFonts w:ascii="Avenir Light" w:hAnsi="Avenir Light" w:eastAsia="Avenir Light" w:cs="Avenir Light"/>
          <w:b w:val="0"/>
          <w:i w:val="0"/>
          <w:color w:val="172126"/>
          <w:sz w:val="19"/>
        </w:rPr>
        <w:t xml:space="preserve">(b) </w:t>
      </w:r>
      <w:hyperlink w:anchor="ek_5" w:history="1">
        <w:r>
          <w:rPr>
            <w:rFonts w:ascii="Avenir Light" w:hAnsi="Avenir Light" w:eastAsia="Avenir Light" w:cs="Avenir Light"/>
            <w:color w:val="188A42"/>
            <w:sz w:val="19"/>
            <w:szCs w:val="19"/>
          </w:rPr>
          <w:t xml:space="preserve">Ek-5</w:t>
        </w:r>
      </w:hyperlink>
      <w:r>
        <w:rPr>
          <w:rFonts w:ascii="Avenir Light" w:hAnsi="Avenir Light" w:eastAsia="Avenir Light" w:cs="Avenir Light"/>
          <w:b w:val="0"/>
          <w:i w:val="0"/>
          <w:color w:val="172126"/>
          <w:sz w:val="19"/>
        </w:rPr>
        <w:t xml:space="preserve"> de standart faktörlerin olmadığı durumlarda </w:t>
      </w:r>
      <w:hyperlink w:anchor="madde_29" w:history="1">
        <w:r>
          <w:rPr>
            <w:rFonts w:ascii="Avenir Light" w:hAnsi="Avenir Light" w:eastAsia="Avenir Light" w:cs="Avenir Light"/>
            <w:color w:val="188A42"/>
            <w:sz w:val="19"/>
            <w:szCs w:val="19"/>
          </w:rPr>
          <w:t xml:space="preserve">29 uncu madde</w:t>
        </w:r>
      </w:hyperlink>
      <w:r>
        <w:rPr>
          <w:rFonts w:ascii="Avenir Light" w:hAnsi="Avenir Light" w:eastAsia="Avenir Light" w:cs="Avenir Light"/>
          <w:b w:val="0"/>
          <w:i w:val="0"/>
          <w:color w:val="172126"/>
          <w:sz w:val="19"/>
        </w:rPr>
        <w:t xml:space="preserve">nin (ç) bendini uyarınca belirlenene diğer sabit faktörler Kademe 2: </w:t>
      </w:r>
      <w:hyperlink w:anchor="madde_29" w:history="1">
        <w:r>
          <w:rPr>
            <w:rFonts w:ascii="Avenir Light" w:hAnsi="Avenir Light" w:eastAsia="Avenir Light" w:cs="Avenir Light"/>
            <w:color w:val="188A42"/>
            <w:sz w:val="19"/>
            <w:szCs w:val="19"/>
          </w:rPr>
          <w:t xml:space="preserve">29 uncu madde</w:t>
        </w:r>
      </w:hyperlink>
      <w:r>
        <w:rPr>
          <w:rFonts w:ascii="Avenir Light" w:hAnsi="Avenir Light" w:eastAsia="Avenir Light" w:cs="Avenir Light"/>
          <w:b w:val="0"/>
          <w:i w:val="0"/>
          <w:color w:val="172126"/>
          <w:sz w:val="19"/>
        </w:rPr>
        <w:t xml:space="preserve">nin (b) bendi uyarınca ülkeye özel faktörler veya (c) bendi uyarınca belirlenen faktörler Kademe 3: İşletme emisyon faktörünü </w:t>
      </w:r>
      <w:hyperlink w:anchor="madde_30" w:history="1">
        <w:r>
          <w:rPr>
            <w:rFonts w:ascii="Avenir Light" w:hAnsi="Avenir Light" w:eastAsia="Avenir Light" w:cs="Avenir Light"/>
            <w:color w:val="188A42"/>
            <w:sz w:val="19"/>
            <w:szCs w:val="19"/>
          </w:rPr>
          <w:t xml:space="preserve">30 uncu madde</w:t>
        </w:r>
      </w:hyperlink>
      <w:r>
        <w:rPr>
          <w:rFonts w:ascii="Avenir Light" w:hAnsi="Avenir Light" w:eastAsia="Avenir Light" w:cs="Avenir Light"/>
          <w:b w:val="0"/>
          <w:i w:val="0"/>
          <w:color w:val="172126"/>
          <w:sz w:val="19"/>
        </w:rPr>
        <w:t xml:space="preserve">den </w:t>
      </w:r>
      <w:hyperlink w:anchor="madde_33" w:history="1">
        <w:r>
          <w:rPr>
            <w:rFonts w:ascii="Avenir Light" w:hAnsi="Avenir Light" w:eastAsia="Avenir Light" w:cs="Avenir Light"/>
            <w:color w:val="188A42"/>
            <w:sz w:val="19"/>
            <w:szCs w:val="19"/>
          </w:rPr>
          <w:t xml:space="preserve">33 üncü madde</w:t>
        </w:r>
      </w:hyperlink>
      <w:r>
        <w:rPr>
          <w:rFonts w:ascii="Avenir Light" w:hAnsi="Avenir Light" w:eastAsia="Avenir Light" w:cs="Avenir Light"/>
          <w:b w:val="0"/>
          <w:i w:val="0"/>
          <w:color w:val="172126"/>
          <w:sz w:val="19"/>
        </w:rPr>
        <w:t xml:space="preserve">ye kadar olan maddeler kapsamında belirler. Gerekli olduğu durumlarda, kompozisyon verisinin emisyon faktörlerine dönüştürülmesi için, </w:t>
      </w:r>
      <w:hyperlink w:anchor="ek_5" w:history="1">
        <w:r>
          <w:rPr>
            <w:rFonts w:ascii="Avenir Light" w:hAnsi="Avenir Light" w:eastAsia="Avenir Light" w:cs="Avenir Light"/>
            <w:color w:val="188A42"/>
            <w:sz w:val="19"/>
            <w:szCs w:val="19"/>
          </w:rPr>
          <w:t xml:space="preserve">ek-5</w:t>
        </w:r>
      </w:hyperlink>
      <w:r>
        <w:rPr>
          <w:rFonts w:ascii="Avenir Light" w:hAnsi="Avenir Light" w:eastAsia="Avenir Light" w:cs="Avenir Light"/>
          <w:b w:val="0"/>
          <w:i w:val="0"/>
          <w:color w:val="172126"/>
          <w:sz w:val="19"/>
        </w:rPr>
        <w:t>'in ikinci bölümünde listelenen stokiyometrik oranlar kullanılır.</w:t>
      </w:r>
    </w:p>
    <w:p>
      <w:pPr>
        <w:pStyle w:val="AnnexSubheading"/>
      </w:pPr>
      <w:r>
        <w:rPr>
          <w:rFonts w:ascii="Avenir Light" w:hAnsi="Avenir Light" w:eastAsia="Avenir Light" w:cs="Avenir Light"/>
          <w:b w:val="0"/>
          <w:i w:val="0"/>
          <w:color w:val="0D5F31"/>
          <w:sz w:val="21"/>
        </w:rPr>
        <w:t>4.2 Yöntem A Kullanan Dönüşüm Faktörleri İçin Kademeler</w:t>
      </w:r>
    </w:p>
    <w:p>
      <w:pPr>
        <w:pStyle w:val="ArticleText"/>
      </w:pPr>
      <w:r>
        <w:rPr>
          <w:rFonts w:ascii="Avenir Light" w:hAnsi="Avenir Light" w:eastAsia="Avenir Light" w:cs="Avenir Light"/>
          <w:b w:val="0"/>
          <w:i w:val="0"/>
          <w:color w:val="172126"/>
          <w:sz w:val="19"/>
        </w:rPr>
        <w:t xml:space="preserve">Kademe 1: Dönüşüm faktörü olarak 1 kullanılır. Kademe 2: Prosesten çıkan karbonatlar ve diğer karbonlar için dönüşüm faktörü 0 ile 1 arasındaki bir değer olarak kullanılır. İşletme bir veya daha fazla girdi için tam dönüşüm varsayabilir ve dönüştürülmemiş malzemeler ile diğer karbonu kalan diğer girdilere bağlar. Ürünlerin ilgili kimyasal parametrelerinin ilaveten belirlenmesi </w:t>
      </w:r>
      <w:hyperlink w:anchor="madde_30" w:history="1">
        <w:r>
          <w:rPr>
            <w:rFonts w:ascii="Avenir Light" w:hAnsi="Avenir Light" w:eastAsia="Avenir Light" w:cs="Avenir Light"/>
            <w:color w:val="188A42"/>
            <w:sz w:val="19"/>
            <w:szCs w:val="19"/>
          </w:rPr>
          <w:t xml:space="preserve">30 uncu madde</w:t>
        </w:r>
      </w:hyperlink>
      <w:r>
        <w:rPr>
          <w:rFonts w:ascii="Avenir Light" w:hAnsi="Avenir Light" w:eastAsia="Avenir Light" w:cs="Avenir Light"/>
          <w:b w:val="0"/>
          <w:i w:val="0"/>
          <w:color w:val="172126"/>
          <w:sz w:val="19"/>
        </w:rPr>
        <w:t xml:space="preserve">den </w:t>
      </w:r>
      <w:hyperlink w:anchor="madde_33" w:history="1">
        <w:r>
          <w:rPr>
            <w:rFonts w:ascii="Avenir Light" w:hAnsi="Avenir Light" w:eastAsia="Avenir Light" w:cs="Avenir Light"/>
            <w:color w:val="188A42"/>
            <w:sz w:val="19"/>
            <w:szCs w:val="19"/>
          </w:rPr>
          <w:t xml:space="preserve">33 üncü madde</w:t>
        </w:r>
      </w:hyperlink>
      <w:r>
        <w:rPr>
          <w:rFonts w:ascii="Avenir Light" w:hAnsi="Avenir Light" w:eastAsia="Avenir Light" w:cs="Avenir Light"/>
          <w:b w:val="0"/>
          <w:i w:val="0"/>
          <w:color w:val="172126"/>
          <w:sz w:val="19"/>
        </w:rPr>
        <w:t>ye kadar olan maddeler kapsamında yürütülür.</w:t>
      </w:r>
    </w:p>
    <w:p>
      <w:pPr>
        <w:pStyle w:val="AnnexSubheading"/>
      </w:pPr>
      <w:r>
        <w:rPr>
          <w:rFonts w:ascii="Avenir Light" w:hAnsi="Avenir Light" w:eastAsia="Avenir Light" w:cs="Avenir Light"/>
          <w:b w:val="0"/>
          <w:i w:val="0"/>
          <w:color w:val="0D5F31"/>
          <w:sz w:val="21"/>
        </w:rPr>
        <w:t>4.3 Yöntem B Kullanan Emisyon Faktörleri İçin Kademeler</w:t>
      </w:r>
    </w:p>
    <w:p>
      <w:pPr>
        <w:pStyle w:val="ArticleText"/>
      </w:pPr>
      <w:r>
        <w:rPr>
          <w:rFonts w:ascii="Avenir Light" w:hAnsi="Avenir Light" w:eastAsia="Avenir Light" w:cs="Avenir Light"/>
          <w:b w:val="0"/>
          <w:i w:val="0"/>
          <w:color w:val="172126"/>
          <w:sz w:val="19"/>
        </w:rPr>
        <w:t>Kademe 1: İşletme aşağıdakilerden birini kullanır</w:t>
      </w:r>
    </w:p>
    <w:p>
      <w:pPr>
        <w:pStyle w:val="LegalList"/>
      </w:pPr>
      <w:r>
        <w:rPr>
          <w:rFonts w:ascii="Avenir Light" w:hAnsi="Avenir Light" w:eastAsia="Avenir Light" w:cs="Avenir Light"/>
          <w:b w:val="0"/>
          <w:i w:val="0"/>
          <w:color w:val="172126"/>
          <w:sz w:val="19"/>
        </w:rPr>
        <w:t xml:space="preserve">(a) </w:t>
      </w:r>
      <w:hyperlink w:anchor="ek_5" w:history="1">
        <w:r>
          <w:rPr>
            <w:rFonts w:ascii="Avenir Light" w:hAnsi="Avenir Light" w:eastAsia="Avenir Light" w:cs="Avenir Light"/>
            <w:color w:val="188A42"/>
            <w:sz w:val="19"/>
            <w:szCs w:val="19"/>
          </w:rPr>
          <w:t xml:space="preserve">Ek-5</w:t>
        </w:r>
      </w:hyperlink>
      <w:r>
        <w:rPr>
          <w:rFonts w:ascii="Avenir Light" w:hAnsi="Avenir Light" w:eastAsia="Avenir Light" w:cs="Avenir Light"/>
          <w:b w:val="0"/>
          <w:i w:val="0"/>
          <w:color w:val="172126"/>
          <w:sz w:val="19"/>
        </w:rPr>
        <w:t>'in ikinci bölümü Tablo 5.3’te listelenen standart faktörleri uygular.</w:t>
      </w:r>
    </w:p>
    <w:p>
      <w:pPr>
        <w:pStyle w:val="LegalList"/>
      </w:pPr>
      <w:r>
        <w:rPr>
          <w:rFonts w:ascii="Avenir Light" w:hAnsi="Avenir Light" w:eastAsia="Avenir Light" w:cs="Avenir Light"/>
          <w:b w:val="0"/>
          <w:i w:val="0"/>
          <w:color w:val="172126"/>
          <w:sz w:val="19"/>
        </w:rPr>
        <w:t xml:space="preserve">(b) </w:t>
      </w:r>
      <w:hyperlink w:anchor="ek_5" w:history="1">
        <w:r>
          <w:rPr>
            <w:rFonts w:ascii="Avenir Light" w:hAnsi="Avenir Light" w:eastAsia="Avenir Light" w:cs="Avenir Light"/>
            <w:color w:val="188A42"/>
            <w:sz w:val="19"/>
            <w:szCs w:val="19"/>
          </w:rPr>
          <w:t xml:space="preserve">Ek-5</w:t>
        </w:r>
      </w:hyperlink>
      <w:r>
        <w:rPr>
          <w:rFonts w:ascii="Avenir Light" w:hAnsi="Avenir Light" w:eastAsia="Avenir Light" w:cs="Avenir Light"/>
          <w:b w:val="0"/>
          <w:i w:val="0"/>
          <w:color w:val="172126"/>
          <w:sz w:val="19"/>
        </w:rPr>
        <w:t xml:space="preserve"> de standart faktörlerin olmadığı durumlarda </w:t>
      </w:r>
      <w:hyperlink w:anchor="madde_29" w:history="1">
        <w:r>
          <w:rPr>
            <w:rFonts w:ascii="Avenir Light" w:hAnsi="Avenir Light" w:eastAsia="Avenir Light" w:cs="Avenir Light"/>
            <w:color w:val="188A42"/>
            <w:sz w:val="19"/>
            <w:szCs w:val="19"/>
          </w:rPr>
          <w:t xml:space="preserve">29 uncu madde</w:t>
        </w:r>
      </w:hyperlink>
      <w:r>
        <w:rPr>
          <w:rFonts w:ascii="Avenir Light" w:hAnsi="Avenir Light" w:eastAsia="Avenir Light" w:cs="Avenir Light"/>
          <w:b w:val="0"/>
          <w:i w:val="0"/>
          <w:color w:val="172126"/>
          <w:sz w:val="19"/>
        </w:rPr>
        <w:t xml:space="preserve">nin (ç) bendi uyarınca belirlenen diğer sabit faktörler Kademe 2: İşletme, </w:t>
      </w:r>
      <w:hyperlink w:anchor="madde_29" w:history="1">
        <w:r>
          <w:rPr>
            <w:rFonts w:ascii="Avenir Light" w:hAnsi="Avenir Light" w:eastAsia="Avenir Light" w:cs="Avenir Light"/>
            <w:color w:val="188A42"/>
            <w:sz w:val="19"/>
            <w:szCs w:val="19"/>
          </w:rPr>
          <w:t xml:space="preserve">29 uncu madde</w:t>
        </w:r>
      </w:hyperlink>
      <w:r>
        <w:rPr>
          <w:rFonts w:ascii="Avenir Light" w:hAnsi="Avenir Light" w:eastAsia="Avenir Light" w:cs="Avenir Light"/>
          <w:b w:val="0"/>
          <w:i w:val="0"/>
          <w:color w:val="172126"/>
          <w:sz w:val="19"/>
        </w:rPr>
        <w:t xml:space="preserve">nin (b) bendi uyarınca ülkeye özel faktörler veya (ç) bendi uyarınca belirlenen faktörleri uygular. Kademe 3: İşletme, üründeki karbonatların ayrışmasında ortaya çıkan ilgili metal oksitlerin miktarlarının belirlenmesi, </w:t>
      </w:r>
      <w:hyperlink w:anchor="madde_30" w:history="1">
        <w:r>
          <w:rPr>
            <w:rFonts w:ascii="Avenir Light" w:hAnsi="Avenir Light" w:eastAsia="Avenir Light" w:cs="Avenir Light"/>
            <w:color w:val="188A42"/>
            <w:sz w:val="19"/>
            <w:szCs w:val="19"/>
          </w:rPr>
          <w:t xml:space="preserve">30 uncu madde</w:t>
        </w:r>
      </w:hyperlink>
      <w:r>
        <w:rPr>
          <w:rFonts w:ascii="Avenir Light" w:hAnsi="Avenir Light" w:eastAsia="Avenir Light" w:cs="Avenir Light"/>
          <w:b w:val="0"/>
          <w:i w:val="0"/>
          <w:color w:val="172126"/>
          <w:sz w:val="19"/>
        </w:rPr>
        <w:t xml:space="preserve">den </w:t>
      </w:r>
      <w:hyperlink w:anchor="madde_33" w:history="1">
        <w:r>
          <w:rPr>
            <w:rFonts w:ascii="Avenir Light" w:hAnsi="Avenir Light" w:eastAsia="Avenir Light" w:cs="Avenir Light"/>
            <w:color w:val="188A42"/>
            <w:sz w:val="19"/>
            <w:szCs w:val="19"/>
          </w:rPr>
          <w:t xml:space="preserve">33 üncü madde</w:t>
        </w:r>
      </w:hyperlink>
      <w:r>
        <w:rPr>
          <w:rFonts w:ascii="Avenir Light" w:hAnsi="Avenir Light" w:eastAsia="Avenir Light" w:cs="Avenir Light"/>
          <w:b w:val="0"/>
          <w:i w:val="0"/>
          <w:color w:val="172126"/>
          <w:sz w:val="19"/>
        </w:rPr>
        <w:t xml:space="preserve">ye kadar olan maddeler kapsamında yürütülür. Kompozisyon verisinin emisyon faktörlerine dönüştürülmesi için, ilgili bütün metal oksitlerin karşılık gelen karbonatlardan çıktığı varsayılarak, </w:t>
      </w:r>
      <w:hyperlink w:anchor="ek_5" w:history="1">
        <w:r>
          <w:rPr>
            <w:rFonts w:ascii="Avenir Light" w:hAnsi="Avenir Light" w:eastAsia="Avenir Light" w:cs="Avenir Light"/>
            <w:color w:val="188A42"/>
            <w:sz w:val="19"/>
            <w:szCs w:val="19"/>
          </w:rPr>
          <w:t xml:space="preserve">ek-5</w:t>
        </w:r>
      </w:hyperlink>
      <w:r>
        <w:rPr>
          <w:rFonts w:ascii="Avenir Light" w:hAnsi="Avenir Light" w:eastAsia="Avenir Light" w:cs="Avenir Light"/>
          <w:b w:val="0"/>
          <w:i w:val="0"/>
          <w:color w:val="172126"/>
          <w:sz w:val="19"/>
        </w:rPr>
        <w:t>'in 2 nci bölümünde listelenen stokiyometrik oranlar kullanılır. Bu amaçla, işletme asgari olarak CaO ve MgO ‘yu dikkate alır ve Bakanlığa farindeki karbonatlarla ilişkili olan diğer metal oksitlerle ilgili kanıt sunar.</w:t>
      </w:r>
    </w:p>
    <w:p>
      <w:pPr>
        <w:pStyle w:val="AnnexSubheading"/>
      </w:pPr>
      <w:r>
        <w:rPr>
          <w:rFonts w:ascii="Avenir Light" w:hAnsi="Avenir Light" w:eastAsia="Avenir Light" w:cs="Avenir Light"/>
          <w:b w:val="0"/>
          <w:i w:val="0"/>
          <w:color w:val="0D5F31"/>
          <w:sz w:val="21"/>
        </w:rPr>
        <w:t>4.4 Yöntem B Kullanan Dönüşüm Faktörleri İçin Kademeler</w:t>
      </w:r>
    </w:p>
    <w:p>
      <w:pPr>
        <w:pStyle w:val="ArticleText"/>
      </w:pPr>
      <w:r>
        <w:rPr>
          <w:rFonts w:ascii="Avenir Light" w:hAnsi="Avenir Light" w:eastAsia="Avenir Light" w:cs="Avenir Light"/>
          <w:b w:val="0"/>
          <w:i w:val="0"/>
          <w:color w:val="172126"/>
          <w:sz w:val="19"/>
        </w:rPr>
        <w:t xml:space="preserve">Kademe 1: Dönüşüm faktörü olarak 1 kullanılacaktır. Kademe 2: Sisteme geri beslenen tozu, uçucu külü veya hali hazırda kalsine olmuş malzemeleri içeren, hammaddelerdeki ilgili maddelerin karbonat olmayan bileşiklerinin miktarı, 1 değerinin hammadde karbonatlarının oksitlere tam dönüşümünü temsil edecek şekilde, 0 ile 1 arasındaki bir değere sahip dönüşüm faktörleri vasıtası ile yansıtılacaktır. Proses girdileri ile ilgili kimyasal parametrelerin ilaveten belirlenmesi </w:t>
      </w:r>
      <w:hyperlink w:anchor="madde_30" w:history="1">
        <w:r>
          <w:rPr>
            <w:rFonts w:ascii="Avenir Light" w:hAnsi="Avenir Light" w:eastAsia="Avenir Light" w:cs="Avenir Light"/>
            <w:color w:val="188A42"/>
            <w:sz w:val="19"/>
            <w:szCs w:val="19"/>
          </w:rPr>
          <w:t xml:space="preserve">30 uncu madde</w:t>
        </w:r>
      </w:hyperlink>
      <w:r>
        <w:rPr>
          <w:rFonts w:ascii="Avenir Light" w:hAnsi="Avenir Light" w:eastAsia="Avenir Light" w:cs="Avenir Light"/>
          <w:b w:val="0"/>
          <w:i w:val="0"/>
          <w:color w:val="172126"/>
          <w:sz w:val="19"/>
        </w:rPr>
        <w:t xml:space="preserve">den </w:t>
      </w:r>
      <w:hyperlink w:anchor="madde_33" w:history="1">
        <w:r>
          <w:rPr>
            <w:rFonts w:ascii="Avenir Light" w:hAnsi="Avenir Light" w:eastAsia="Avenir Light" w:cs="Avenir Light"/>
            <w:color w:val="188A42"/>
            <w:sz w:val="19"/>
            <w:szCs w:val="19"/>
          </w:rPr>
          <w:t xml:space="preserve">33 üncü madde</w:t>
        </w:r>
      </w:hyperlink>
      <w:r>
        <w:rPr>
          <w:rFonts w:ascii="Avenir Light" w:hAnsi="Avenir Light" w:eastAsia="Avenir Light" w:cs="Avenir Light"/>
          <w:b w:val="0"/>
          <w:i w:val="0"/>
          <w:color w:val="172126"/>
          <w:sz w:val="19"/>
        </w:rPr>
        <w:t>ye kadar olan maddeler kapsamında yürütülür.</w:t>
      </w:r>
    </w:p>
    <w:p>
      <w:pPr>
        <w:pStyle w:val="AnnexSubheading"/>
      </w:pPr>
      <w:r>
        <w:rPr>
          <w:rFonts w:ascii="Avenir Light" w:hAnsi="Avenir Light" w:eastAsia="Avenir Light" w:cs="Avenir Light"/>
          <w:b w:val="0"/>
          <w:i w:val="0"/>
          <w:color w:val="0D5F31"/>
          <w:sz w:val="21"/>
        </w:rPr>
        <w:t>5. Karbonatlar Dışındaki Diğer Malzemeler Kaynaklı Proses Emisyonları İçin Hesaplama</w:t>
      </w:r>
    </w:p>
    <w:p>
      <w:pPr>
        <w:pStyle w:val="ArticleText"/>
      </w:pPr>
      <w:r>
        <w:rPr>
          <w:rFonts w:ascii="Avenir Light" w:hAnsi="Avenir Light" w:eastAsia="Avenir Light" w:cs="Avenir Light"/>
          <w:b w:val="0"/>
          <w:i w:val="0"/>
          <w:color w:val="172126"/>
          <w:sz w:val="19"/>
        </w:rPr>
        <w:t>Faktörlerine Ait Kademe Tanımı Üre, kok, grafit, ve diğer karbonat olmayan karbon içeren malzemeler de dahil olmak üzere, CO2 emisyonlarına sebep olan proses malzemeleri kütle dengesine dahil oldukları durum hariç olmak üzere bu bölümde tanımlanan girdi temelli yöntem ile izlenir.</w:t>
      </w:r>
    </w:p>
    <w:p>
      <w:pPr>
        <w:pStyle w:val="AnnexSubheading"/>
      </w:pPr>
      <w:r>
        <w:rPr>
          <w:rFonts w:ascii="Avenir Light" w:hAnsi="Avenir Light" w:eastAsia="Avenir Light" w:cs="Avenir Light"/>
          <w:b w:val="0"/>
          <w:i w:val="0"/>
          <w:color w:val="0D5F31"/>
          <w:sz w:val="21"/>
        </w:rPr>
        <w:t>5.1 Emisyon faktörleri için kademeler</w:t>
      </w:r>
    </w:p>
    <w:p>
      <w:pPr>
        <w:pStyle w:val="ArticleText"/>
      </w:pPr>
      <w:r>
        <w:rPr>
          <w:rFonts w:ascii="Avenir Light" w:hAnsi="Avenir Light" w:eastAsia="Avenir Light" w:cs="Avenir Light"/>
          <w:b w:val="0"/>
          <w:i w:val="0"/>
          <w:color w:val="172126"/>
          <w:sz w:val="19"/>
        </w:rPr>
        <w:t>Bu ekin 2.1 maddesinde tanımlanan kademeler kullanılır.</w:t>
      </w:r>
    </w:p>
    <w:p>
      <w:pPr>
        <w:pStyle w:val="AnnexSubheading"/>
      </w:pPr>
      <w:r>
        <w:rPr>
          <w:rFonts w:ascii="Avenir Light" w:hAnsi="Avenir Light" w:eastAsia="Avenir Light" w:cs="Avenir Light"/>
          <w:b w:val="0"/>
          <w:i w:val="0"/>
          <w:color w:val="0D5F31"/>
          <w:sz w:val="21"/>
        </w:rPr>
        <w:t>5.2 Net kalorifik değer (NKD) için kademeler</w:t>
      </w:r>
    </w:p>
    <w:p>
      <w:pPr>
        <w:pStyle w:val="ArticleText"/>
      </w:pPr>
      <w:r>
        <w:rPr>
          <w:rFonts w:ascii="Avenir Light" w:hAnsi="Avenir Light" w:eastAsia="Avenir Light" w:cs="Avenir Light"/>
          <w:b w:val="0"/>
          <w:i w:val="0"/>
          <w:color w:val="172126"/>
          <w:sz w:val="19"/>
        </w:rPr>
        <w:t>Proses malzemesi yanabilen karbon içeriyor ise işletme NKD değerini raporlar. Bu ekin madde 2.2sinde tanımlanan tademeler kullanılır.</w:t>
      </w:r>
    </w:p>
    <w:p>
      <w:pPr>
        <w:pStyle w:val="AnnexSubheading"/>
      </w:pPr>
      <w:r>
        <w:rPr>
          <w:rFonts w:ascii="Avenir Light" w:hAnsi="Avenir Light" w:eastAsia="Avenir Light" w:cs="Avenir Light"/>
          <w:b w:val="0"/>
          <w:i w:val="0"/>
          <w:color w:val="0D5F31"/>
          <w:sz w:val="21"/>
        </w:rPr>
        <w:t>5.3 Dönüşüm / oksidasyon faktörleri için kademeler</w:t>
      </w:r>
    </w:p>
    <w:p>
      <w:pPr>
        <w:pStyle w:val="ArticleText"/>
      </w:pPr>
      <w:r>
        <w:rPr>
          <w:rFonts w:ascii="Avenir Light" w:hAnsi="Avenir Light" w:eastAsia="Avenir Light" w:cs="Avenir Light"/>
          <w:b w:val="0"/>
          <w:i w:val="0"/>
          <w:color w:val="172126"/>
          <w:sz w:val="19"/>
        </w:rPr>
        <w:t xml:space="preserve">Şayet proses malzemesi yanabilen karbon içeriyor ise işletme bir oksidasyon faktörü kullanır. Bu amaç için bu ekin madde 2.3 ünde tanımlanan kademeler kullanılır. Diğer tüm durumlarda işletme dönüşüm faktörü kullanır. Bu amaç için aşağıdaki kademe tanımları geçerli olur: Kademe 1: Dönüşüm faktörü olarak 1 kullanılır. Kademe 2: prosesi terkeden karbon 0 ila 1 arasında yer alan bir dönüşüm faktörü olarak ifade edilir. İşletme bir veya birden fazla girdi için tam dönüşüm varsayabilir ve dönüşmeyen malzemeleriveya diğer karbonu kalan girdilere atfedebilir. Ürünlerin ilgili kimyasal parametrelerinin belirlenmesi </w:t>
      </w:r>
      <w:hyperlink w:anchor="madde_30" w:history="1">
        <w:r>
          <w:rPr>
            <w:rFonts w:ascii="Avenir Light" w:hAnsi="Avenir Light" w:eastAsia="Avenir Light" w:cs="Avenir Light"/>
            <w:color w:val="188A42"/>
            <w:sz w:val="19"/>
            <w:szCs w:val="19"/>
          </w:rPr>
          <w:t xml:space="preserve">30 uncu madde</w:t>
        </w:r>
      </w:hyperlink>
      <w:r>
        <w:rPr>
          <w:rFonts w:ascii="Avenir Light" w:hAnsi="Avenir Light" w:eastAsia="Avenir Light" w:cs="Avenir Light"/>
          <w:b w:val="0"/>
          <w:i w:val="0"/>
          <w:color w:val="172126"/>
          <w:sz w:val="19"/>
        </w:rPr>
        <w:t xml:space="preserve">den </w:t>
      </w:r>
      <w:hyperlink w:anchor="madde_33" w:history="1">
        <w:r>
          <w:rPr>
            <w:rFonts w:ascii="Avenir Light" w:hAnsi="Avenir Light" w:eastAsia="Avenir Light" w:cs="Avenir Light"/>
            <w:color w:val="188A42"/>
            <w:sz w:val="19"/>
            <w:szCs w:val="19"/>
          </w:rPr>
          <w:t xml:space="preserve">33 üncü madde</w:t>
        </w:r>
      </w:hyperlink>
      <w:r>
        <w:rPr>
          <w:rFonts w:ascii="Avenir Light" w:hAnsi="Avenir Light" w:eastAsia="Avenir Light" w:cs="Avenir Light"/>
          <w:b w:val="0"/>
          <w:i w:val="0"/>
          <w:color w:val="172126"/>
          <w:sz w:val="19"/>
        </w:rPr>
        <w:t>ye kadar olan maddeler kapsamında yürütülür.</w:t>
      </w:r>
    </w:p>
    <w:p>
      <w:pPr>
        <w:pStyle w:val="AnnexSubheading"/>
      </w:pPr>
      <w:r>
        <w:rPr>
          <w:rFonts w:ascii="Avenir Light" w:hAnsi="Avenir Light" w:eastAsia="Avenir Light" w:cs="Avenir Light"/>
          <w:b w:val="0"/>
          <w:i w:val="0"/>
          <w:color w:val="0D5F31"/>
          <w:sz w:val="21"/>
        </w:rPr>
        <w:t>5.4 Biyokütle oranı için kademeler</w:t>
      </w:r>
    </w:p>
    <w:p>
      <w:pPr>
        <w:pStyle w:val="ArticleText"/>
      </w:pPr>
      <w:r>
        <w:rPr>
          <w:rFonts w:ascii="Avenir Light" w:hAnsi="Avenir Light" w:eastAsia="Avenir Light" w:cs="Avenir Light"/>
          <w:b w:val="0"/>
          <w:i w:val="0"/>
          <w:color w:val="172126"/>
          <w:sz w:val="19"/>
        </w:rPr>
        <w:t>Bu ekin madde 2.4’ünde tanımlanan kademeler kullanılır. (Değişik:RG-5/2/2021-31386)</w:t>
      </w:r>
    </w:p>
    <w:p>
      <w:bookmarkStart w:id="75" w:name="ek_3"/>
      <w:pPr>
        <w:pStyle w:val="AnnexHeading"/>
      </w:pPr>
      <w:hyperlink w:anchor="ek_3" w:history="1">
        <w:r>
          <w:rPr>
            <w:rFonts w:ascii="Avenir Light" w:hAnsi="Avenir Light" w:eastAsia="Avenir Light" w:cs="Avenir Light"/>
            <w:color w:val="188A42"/>
            <w:sz w:val="28"/>
            <w:szCs w:val="28"/>
          </w:rPr>
          <w:t xml:space="preserve">EK-3</w:t>
        </w:r>
      </w:hyperlink>
      <w:bookmarkEnd w:id="75"/>
    </w:p>
    <w:p>
      <w:pPr>
        <w:pStyle w:val="AnnexTitle"/>
      </w:pPr>
      <w:r>
        <w:rPr>
          <w:rFonts w:ascii="Avenir Light" w:hAnsi="Avenir Light" w:eastAsia="Avenir Light" w:cs="Avenir Light"/>
          <w:b w:val="0"/>
          <w:i w:val="0"/>
          <w:color w:val="172126"/>
          <w:sz w:val="24"/>
        </w:rPr>
        <w:t>TESİSLER İLE İLGİLİ FAALİYETE ÖZGÜ İZLEME YÖNTEMLERİ</w:t>
      </w:r>
    </w:p>
    <w:p>
      <w:pPr>
        <w:pStyle w:val="AnnexSubheading"/>
      </w:pPr>
      <w:r>
        <w:rPr>
          <w:rFonts w:ascii="Avenir Light" w:hAnsi="Avenir Light" w:eastAsia="Avenir Light" w:cs="Avenir Light"/>
          <w:b w:val="0"/>
          <w:i w:val="0"/>
          <w:color w:val="0D5F31"/>
          <w:sz w:val="21"/>
        </w:rPr>
        <w:t>1. Yanma Proseslerinden Kaynaklanan Emisyonlar için Özel İzleme Kuralları</w:t>
      </w:r>
    </w:p>
    <w:p>
      <w:pPr>
        <w:pStyle w:val="LegalList"/>
      </w:pPr>
      <w:r>
        <w:rPr>
          <w:rFonts w:ascii="Avenir Light" w:hAnsi="Avenir Light" w:eastAsia="Avenir Light" w:cs="Avenir Light"/>
          <w:b w:val="0"/>
          <w:i w:val="0"/>
          <w:color w:val="172126"/>
          <w:sz w:val="19"/>
        </w:rPr>
        <w:t xml:space="preserve">A) Kapsam İşletme, Yönetmeliğin </w:t>
      </w:r>
      <w:hyperlink w:anchor="ek_1" w:history="1">
        <w:r>
          <w:rPr>
            <w:rFonts w:ascii="Avenir Light" w:hAnsi="Avenir Light" w:eastAsia="Avenir Light" w:cs="Avenir Light"/>
            <w:color w:val="188A42"/>
            <w:sz w:val="19"/>
            <w:szCs w:val="19"/>
          </w:rPr>
          <w:t xml:space="preserve">ek-1</w:t>
        </w:r>
      </w:hyperlink>
      <w:r>
        <w:rPr>
          <w:rFonts w:ascii="Avenir Light" w:hAnsi="Avenir Light" w:eastAsia="Avenir Light" w:cs="Avenir Light"/>
          <w:b w:val="0"/>
          <w:i w:val="0"/>
          <w:color w:val="172126"/>
          <w:sz w:val="19"/>
        </w:rPr>
        <w:t>’inde listelenen faaliyetler altında yer alan tüm yanma proseslerinden kaynaklanan CO 2 emisyonlarını izler. Emisyonlara uygulanan diğer sınıflandırmalar için, izleme ve raporlama yöntemlerine ilişkin proses girdisi olarak kullanılan yakıtlardan kaynaklanan emisyonlar yanma emisyonları gibi değerlendirilir. İşletme, diğer tesislere ısı veya elektrik ihracına bakmaksızın, tesisteki yakıtların yanmasından kaynaklanan tüm emisyonları tesis kapsamında değerlendirir. Diğer tesislerden ısı ve elektrik ithal edilen tesislerde ise, ithal edilen bu ısı veya elektrik üretimine ilişkin emisyonlar tesis kapsamında değerlendirilmez. İşletme, en az aşağıdaki emisyon kaynaklarını dahil eder: buhar kazanları, sanayi ocakları, türbinler, ısıtıcılar, her türlü fırınlar, insineratörler, ocaklar, kurutucular, motorlar, alev bacaları, yıkayıcı kuleler (proses emisyonları) ve nakliye amaçlı kullanılan yanmalı motorlu ekipman ve makineler hariç diğer yakıt kullanan ekipman ve makineler. İşletme, en az aşağıdaki emisyon kaynaklarını dahil eder: buhar kazanları, sanayi ocakları, türbinler, ısıtıcılar, her türlü fırınlar, insineratörler, kalsinatörler, ocaklar, kurutucular, motorlar, yakıt hücreleri, kimyasal döngü yakma üniteleri, alev bacaları, termal veya katalitik yakma sonrası üniteler, yıkayıcı kuleler (proses emisyonları) ve nakliye amaçlı kullanılan yanmalı motorlu ekipman ve makineler hariç diğer yakıt kullanan ekipman ve makineler.</w:t>
      </w:r>
    </w:p>
    <w:p>
      <w:pPr>
        <w:pStyle w:val="LegalList"/>
      </w:pPr>
      <w:r>
        <w:rPr>
          <w:rFonts w:ascii="Avenir Light" w:hAnsi="Avenir Light" w:eastAsia="Avenir Light" w:cs="Avenir Light"/>
          <w:b w:val="0"/>
          <w:i w:val="0"/>
          <w:color w:val="172126"/>
          <w:sz w:val="19"/>
        </w:rPr>
        <w:t xml:space="preserve">B) Özel İzleme Kuralları </w:t>
      </w:r>
      <w:hyperlink w:anchor="madde_23" w:history="1">
        <w:r>
          <w:rPr>
            <w:rFonts w:ascii="Avenir Light" w:hAnsi="Avenir Light" w:eastAsia="Avenir Light" w:cs="Avenir Light"/>
            <w:color w:val="188A42"/>
            <w:sz w:val="19"/>
            <w:szCs w:val="19"/>
          </w:rPr>
          <w:t xml:space="preserve">23 üncü madde</w:t>
        </w:r>
      </w:hyperlink>
      <w:r>
        <w:rPr>
          <w:rFonts w:ascii="Avenir Light" w:hAnsi="Avenir Light" w:eastAsia="Avenir Light" w:cs="Avenir Light"/>
          <w:b w:val="0"/>
          <w:i w:val="0"/>
          <w:color w:val="172126"/>
          <w:sz w:val="19"/>
        </w:rPr>
        <w:t xml:space="preserve"> uyarınca yakıtların kütle dengesinde yer almadığı durumda, yanma proseslerinden kaynaklanan emisyonlar </w:t>
      </w:r>
      <w:hyperlink w:anchor="madde_22" w:history="1">
        <w:r>
          <w:rPr>
            <w:rFonts w:ascii="Avenir Light" w:hAnsi="Avenir Light" w:eastAsia="Avenir Light" w:cs="Avenir Light"/>
            <w:color w:val="188A42"/>
            <w:sz w:val="19"/>
            <w:szCs w:val="19"/>
          </w:rPr>
          <w:t xml:space="preserve">22 nci madde</w:t>
        </w:r>
      </w:hyperlink>
      <w:r>
        <w:rPr>
          <w:rFonts w:ascii="Avenir Light" w:hAnsi="Avenir Light" w:eastAsia="Avenir Light" w:cs="Avenir Light"/>
          <w:b w:val="0"/>
          <w:i w:val="0"/>
          <w:color w:val="172126"/>
          <w:sz w:val="19"/>
        </w:rPr>
        <w:t xml:space="preserve">nin birinci fıkrasına göre hesaplanır ve </w:t>
      </w:r>
      <w:hyperlink w:anchor="ek_2" w:history="1">
        <w:r>
          <w:rPr>
            <w:rFonts w:ascii="Avenir Light" w:hAnsi="Avenir Light" w:eastAsia="Avenir Light" w:cs="Avenir Light"/>
            <w:color w:val="188A42"/>
            <w:sz w:val="19"/>
            <w:szCs w:val="19"/>
          </w:rPr>
          <w:t xml:space="preserve">ek-2</w:t>
        </w:r>
      </w:hyperlink>
      <w:r>
        <w:rPr>
          <w:rFonts w:ascii="Avenir Light" w:hAnsi="Avenir Light" w:eastAsia="Avenir Light" w:cs="Avenir Light"/>
          <w:b w:val="0"/>
          <w:i w:val="0"/>
          <w:color w:val="172126"/>
          <w:sz w:val="19"/>
        </w:rPr>
        <w:t xml:space="preserve">'nin ikinci bölümünde tanımlanan kademeler uygulanır. Ayrıca, baca gazı yıkama işlemlerinden kaynaklanan proses emisyonları bu Ekin C bölümünde yer alan hükümler kapsamında izlenir. Bu Ekin D bölümünde belirtildiği gibi, alev bacalarından kaynaklanan emisyonlar için özel gereklilikler uygulanır. </w:t>
      </w:r>
      <w:hyperlink w:anchor="madde_23" w:history="1">
        <w:r>
          <w:rPr>
            <w:rFonts w:ascii="Avenir Light" w:hAnsi="Avenir Light" w:eastAsia="Avenir Light" w:cs="Avenir Light"/>
            <w:color w:val="188A42"/>
            <w:sz w:val="19"/>
            <w:szCs w:val="19"/>
          </w:rPr>
          <w:t xml:space="preserve">23 üncü madde</w:t>
        </w:r>
      </w:hyperlink>
      <w:r>
        <w:rPr>
          <w:rFonts w:ascii="Avenir Light" w:hAnsi="Avenir Light" w:eastAsia="Avenir Light" w:cs="Avenir Light"/>
          <w:b w:val="0"/>
          <w:i w:val="0"/>
          <w:color w:val="172126"/>
          <w:sz w:val="19"/>
        </w:rPr>
        <w:t xml:space="preserve"> uyarınca gaz işleme terminallerinde gerçekleşen yanma prosesleri kütle dengesi kullanılarak izlenir.</w:t>
      </w:r>
    </w:p>
    <w:p>
      <w:pPr>
        <w:pStyle w:val="LegalList"/>
      </w:pPr>
      <w:r>
        <w:rPr>
          <w:rFonts w:ascii="Avenir Light" w:hAnsi="Avenir Light" w:eastAsia="Avenir Light" w:cs="Avenir Light"/>
          <w:b w:val="0"/>
          <w:i w:val="0"/>
          <w:color w:val="172126"/>
          <w:sz w:val="19"/>
        </w:rPr>
        <w:t xml:space="preserve">C) Atık Gazın Yıkanması Baca gazı akışından asit gazın temizlenmesi için karbonat kullanımından kaynaklanan CO 2 proses emisyonları </w:t>
      </w:r>
      <w:hyperlink w:anchor="madde_22" w:history="1">
        <w:r>
          <w:rPr>
            <w:rFonts w:ascii="Avenir Light" w:hAnsi="Avenir Light" w:eastAsia="Avenir Light" w:cs="Avenir Light"/>
            <w:color w:val="188A42"/>
            <w:sz w:val="19"/>
            <w:szCs w:val="19"/>
          </w:rPr>
          <w:t xml:space="preserve">22 nci madde</w:t>
        </w:r>
      </w:hyperlink>
      <w:r>
        <w:rPr>
          <w:rFonts w:ascii="Avenir Light" w:hAnsi="Avenir Light" w:eastAsia="Avenir Light" w:cs="Avenir Light"/>
          <w:b w:val="0"/>
          <w:i w:val="0"/>
          <w:color w:val="172126"/>
          <w:sz w:val="19"/>
        </w:rPr>
        <w:t xml:space="preserve">nin ikinci fıkrası uyarınca, tüketilen karbonat (Yöntem A), veya üretilen alçı taşı (Yöntem B) bazında hesaplanır. Yöntem A: Emisyon Faktörü Kademe 1: Emisyon faktörleri </w:t>
      </w:r>
      <w:hyperlink w:anchor="ek_5" w:history="1">
        <w:r>
          <w:rPr>
            <w:rFonts w:ascii="Avenir Light" w:hAnsi="Avenir Light" w:eastAsia="Avenir Light" w:cs="Avenir Light"/>
            <w:color w:val="188A42"/>
            <w:sz w:val="19"/>
            <w:szCs w:val="19"/>
          </w:rPr>
          <w:t xml:space="preserve">ek-5</w:t>
        </w:r>
      </w:hyperlink>
      <w:r>
        <w:rPr>
          <w:rFonts w:ascii="Avenir Light" w:hAnsi="Avenir Light" w:eastAsia="Avenir Light" w:cs="Avenir Light"/>
          <w:b w:val="0"/>
          <w:i w:val="0"/>
          <w:color w:val="172126"/>
          <w:sz w:val="19"/>
        </w:rPr>
        <w:t>'in ikinci bölümünde listelenen stokiyometrik oranlar ile belirlenir. İlgili girdi malzemelerindeki CaCO 3 ve MgCO 3 miktarları ulusal ve uluslararası standartlar kullanılarak belirlenir. Yöntem B: Emisyon Faktörü Kademe 1: Emisyon faktörü kuru alçı taşının (CaSO 4 .2H 2 O) salınan CO 2 ’ye stokiyometrik oranı olmalıdır: 0.2558 t CO 2 / t alçı taşı.</w:t>
      </w:r>
    </w:p>
    <w:p>
      <w:pPr>
        <w:pStyle w:val="AnnexSubheading"/>
      </w:pPr>
      <w:r>
        <w:rPr>
          <w:rFonts w:ascii="Avenir Light" w:hAnsi="Avenir Light" w:eastAsia="Avenir Light" w:cs="Avenir Light"/>
          <w:b w:val="0"/>
          <w:i w:val="0"/>
          <w:color w:val="0D5F31"/>
          <w:sz w:val="21"/>
        </w:rPr>
        <w:t>C.1 Desülfürizasyon</w:t>
      </w:r>
    </w:p>
    <w:p>
      <w:pPr>
        <w:pStyle w:val="ArticleText"/>
      </w:pPr>
      <w:r>
        <w:rPr>
          <w:rFonts w:ascii="Avenir Light" w:hAnsi="Avenir Light" w:eastAsia="Avenir Light" w:cs="Avenir Light"/>
          <w:b w:val="0"/>
          <w:i w:val="0"/>
          <w:color w:val="172126"/>
          <w:sz w:val="19"/>
        </w:rPr>
        <w:t xml:space="preserve">Baca gazı akışından asit gazın temizlenmesi için karbonat kullanımından kaynaklanan CO 2 proses emisyonları </w:t>
      </w:r>
      <w:hyperlink w:anchor="madde_22" w:history="1">
        <w:r>
          <w:rPr>
            <w:rFonts w:ascii="Avenir Light" w:hAnsi="Avenir Light" w:eastAsia="Avenir Light" w:cs="Avenir Light"/>
            <w:color w:val="188A42"/>
            <w:sz w:val="19"/>
            <w:szCs w:val="19"/>
          </w:rPr>
          <w:t xml:space="preserve">22 nci madde</w:t>
        </w:r>
      </w:hyperlink>
      <w:r>
        <w:rPr>
          <w:rFonts w:ascii="Avenir Light" w:hAnsi="Avenir Light" w:eastAsia="Avenir Light" w:cs="Avenir Light"/>
          <w:b w:val="0"/>
          <w:i w:val="0"/>
          <w:color w:val="172126"/>
          <w:sz w:val="19"/>
        </w:rPr>
        <w:t xml:space="preserve">nin ikinci fıkrası uyarınca, tüketilen karbonat (Yöntem A), veya üretilen alçı taşı (Yöntem B) bazında hesaplanır. </w:t>
      </w:r>
      <w:hyperlink w:anchor="ek_2" w:history="1">
        <w:r>
          <w:rPr>
            <w:rFonts w:ascii="Avenir Light" w:hAnsi="Avenir Light" w:eastAsia="Avenir Light" w:cs="Avenir Light"/>
            <w:color w:val="188A42"/>
            <w:sz w:val="19"/>
            <w:szCs w:val="19"/>
          </w:rPr>
          <w:t xml:space="preserve">Ek-2</w:t>
        </w:r>
      </w:hyperlink>
      <w:r>
        <w:rPr>
          <w:rFonts w:ascii="Avenir Light" w:hAnsi="Avenir Light" w:eastAsia="Avenir Light" w:cs="Avenir Light"/>
          <w:b w:val="0"/>
          <w:i w:val="0"/>
          <w:color w:val="172126"/>
          <w:sz w:val="19"/>
        </w:rPr>
        <w:t xml:space="preserve"> bölüm 4 den farklı olarak aşağıdakiler uygulanır. Yöntem A: Emisyon Faktörü Kademe 1: Emisyon faktörleri </w:t>
      </w:r>
      <w:hyperlink w:anchor="ek_5" w:history="1">
        <w:r>
          <w:rPr>
            <w:rFonts w:ascii="Avenir Light" w:hAnsi="Avenir Light" w:eastAsia="Avenir Light" w:cs="Avenir Light"/>
            <w:color w:val="188A42"/>
            <w:sz w:val="19"/>
            <w:szCs w:val="19"/>
          </w:rPr>
          <w:t xml:space="preserve">ek-5</w:t>
        </w:r>
      </w:hyperlink>
      <w:r>
        <w:rPr>
          <w:rFonts w:ascii="Avenir Light" w:hAnsi="Avenir Light" w:eastAsia="Avenir Light" w:cs="Avenir Light"/>
          <w:b w:val="0"/>
          <w:i w:val="0"/>
          <w:color w:val="172126"/>
          <w:sz w:val="19"/>
        </w:rPr>
        <w:t>'in ikinci bölümünde listelenen stokiyometrik oranlar ile belirlenir. İlgili girdi malzemelerindeki CaCO3 ve MgCO3 miktarları ulusal ve uluslararası standartlar kullanılarak belirlenir. Yöntem B: Emisyon Faktörü Kademe 1: Emisyon faktörü kuru alçı taşının (CaSO4.2H2O) salınan CO 2 ’ye stokiyometrik oranı olmalıdır: 0.2558 t CO 2 / t alçı taşı. Dönüşüm Faktörü Kademe 1: Dönüşüm faktörü olarak 1 alınır.</w:t>
      </w:r>
    </w:p>
    <w:p>
      <w:pPr>
        <w:pStyle w:val="AnnexSubheading"/>
      </w:pPr>
      <w:r>
        <w:rPr>
          <w:rFonts w:ascii="Avenir Light" w:hAnsi="Avenir Light" w:eastAsia="Avenir Light" w:cs="Avenir Light"/>
          <w:b w:val="0"/>
          <w:i w:val="0"/>
          <w:color w:val="0D5F31"/>
          <w:sz w:val="21"/>
        </w:rPr>
        <w:t>C.2 De-NOx</w:t>
      </w:r>
    </w:p>
    <w:p>
      <w:pPr>
        <w:pStyle w:val="ArticleText"/>
      </w:pPr>
      <w:hyperlink w:anchor="ek_2" w:history="1">
        <w:r>
          <w:rPr>
            <w:rFonts w:ascii="Avenir Light" w:hAnsi="Avenir Light" w:eastAsia="Avenir Light" w:cs="Avenir Light"/>
            <w:color w:val="188A42"/>
            <w:sz w:val="19"/>
            <w:szCs w:val="19"/>
          </w:rPr>
          <w:t xml:space="preserve">Ek-2</w:t>
        </w:r>
      </w:hyperlink>
      <w:r>
        <w:rPr>
          <w:rFonts w:ascii="Avenir Light" w:hAnsi="Avenir Light" w:eastAsia="Avenir Light" w:cs="Avenir Light"/>
          <w:b w:val="0"/>
          <w:i w:val="0"/>
          <w:color w:val="172126"/>
          <w:sz w:val="19"/>
        </w:rPr>
        <w:t xml:space="preserve"> Bölüm 5’ten farklı olarak, atık gaz akımının yıkanması için kullanılan üre kaynaklı proses emisyonları </w:t>
      </w:r>
      <w:hyperlink w:anchor="madde_23" w:history="1">
        <w:r>
          <w:rPr>
            <w:rFonts w:ascii="Avenir Light" w:hAnsi="Avenir Light" w:eastAsia="Avenir Light" w:cs="Avenir Light"/>
            <w:color w:val="188A42"/>
            <w:sz w:val="19"/>
            <w:szCs w:val="19"/>
          </w:rPr>
          <w:t xml:space="preserve">23 üncü madde</w:t>
        </w:r>
      </w:hyperlink>
      <w:r>
        <w:rPr>
          <w:rFonts w:ascii="Avenir Light" w:hAnsi="Avenir Light" w:eastAsia="Avenir Light" w:cs="Avenir Light"/>
          <w:b w:val="0"/>
          <w:i w:val="0"/>
          <w:color w:val="172126"/>
          <w:sz w:val="19"/>
        </w:rPr>
        <w:t>nin ikinci fıkrasına uygun olarak aşağıdaki kademe tanımları ile hesaplanır. Emisyon faktörü: Kademe 1: ilgili girdi malzemesi içerisindeki üre miktarı en iyi sanayi uygulamarı kılavuzları kullanılarak yapılır. Emisyon faktörü 0,7328 t CO 2 /t üre stokiyometrik oranı kullanılarak tespit edilir. Dönüşüm faktörü: Sadece kademe 1 kullanılabilir.</w:t>
      </w:r>
    </w:p>
    <w:p>
      <w:pPr>
        <w:pStyle w:val="LegalList"/>
      </w:pPr>
      <w:r>
        <w:rPr>
          <w:rFonts w:ascii="Avenir Light" w:hAnsi="Avenir Light" w:eastAsia="Avenir Light" w:cs="Avenir Light"/>
          <w:b w:val="0"/>
          <w:i w:val="0"/>
          <w:color w:val="172126"/>
          <w:sz w:val="19"/>
        </w:rPr>
        <w:t xml:space="preserve">D) Alev Bacaları İşletme, alev bacalarından kaynaklanan emisyonları hesaplarken rutin tutuşmaları ve işletimsel tutuşmaları (acil durumların yanı sıra devre dışı kalma, başlatma ve kapatma) dâhil eder. İşletme ayrıca </w:t>
      </w:r>
      <w:hyperlink w:anchor="madde_46" w:history="1">
        <w:r>
          <w:rPr>
            <w:rFonts w:ascii="Avenir Light" w:hAnsi="Avenir Light" w:eastAsia="Avenir Light" w:cs="Avenir Light"/>
            <w:color w:val="188A42"/>
            <w:sz w:val="19"/>
            <w:szCs w:val="19"/>
          </w:rPr>
          <w:t xml:space="preserve">46 ncı madde</w:t>
        </w:r>
      </w:hyperlink>
      <w:r>
        <w:rPr>
          <w:rFonts w:ascii="Avenir Light" w:hAnsi="Avenir Light" w:eastAsia="Avenir Light" w:cs="Avenir Light"/>
          <w:b w:val="0"/>
          <w:i w:val="0"/>
          <w:color w:val="172126"/>
          <w:sz w:val="19"/>
        </w:rPr>
        <w:t xml:space="preserve"> uyarınca dâhili CO 2 ’yi de dahil eder. </w:t>
      </w:r>
      <w:hyperlink w:anchor="ek_2" w:history="1">
        <w:r>
          <w:rPr>
            <w:rFonts w:ascii="Avenir Light" w:hAnsi="Avenir Light" w:eastAsia="Avenir Light" w:cs="Avenir Light"/>
            <w:color w:val="188A42"/>
            <w:sz w:val="19"/>
            <w:szCs w:val="19"/>
          </w:rPr>
          <w:t xml:space="preserve">Ek-2</w:t>
        </w:r>
      </w:hyperlink>
      <w:r>
        <w:rPr>
          <w:rFonts w:ascii="Avenir Light" w:hAnsi="Avenir Light" w:eastAsia="Avenir Light" w:cs="Avenir Light"/>
          <w:b w:val="0"/>
          <w:i w:val="0"/>
          <w:color w:val="172126"/>
          <w:sz w:val="19"/>
        </w:rPr>
        <w:t xml:space="preserve">'nin 2.1 bölümü dahilinde emisyon faktörü için kademe 1 ve kademe 2b aşağıdaki gibi tanımlanır: Kademe 1: İşletme, baca gazları için ihtiyatlı bir ikame olarak kullanılan saf etanın yanmasından elde edilen 0.00393 t CO 2 /Nm3 lük referans emisyon faktörünü kullanır. Kademe 2b: Tesise özgü emisyon faktörleri, sanayi standart modellerine dayanan proses modellemesi kullanılarak, alev bacası akışının moleküler ağırlığının tahmininden elde edilir. Katkıda bulunan her bir akışın göreceli oranlarını ve moleküler ağılıklarını değerlendirerek, baca gazının moleküler ağırlığı için ağırlıklı yıllık ortalama bir değer elde edilir. </w:t>
      </w:r>
      <w:hyperlink w:anchor="ek_2" w:history="1">
        <w:r>
          <w:rPr>
            <w:rFonts w:ascii="Avenir Light" w:hAnsi="Avenir Light" w:eastAsia="Avenir Light" w:cs="Avenir Light"/>
            <w:color w:val="188A42"/>
            <w:sz w:val="19"/>
            <w:szCs w:val="19"/>
          </w:rPr>
          <w:t xml:space="preserve">Ek-2</w:t>
        </w:r>
      </w:hyperlink>
      <w:r>
        <w:rPr>
          <w:rFonts w:ascii="Avenir Light" w:hAnsi="Avenir Light" w:eastAsia="Avenir Light" w:cs="Avenir Light"/>
          <w:b w:val="0"/>
          <w:i w:val="0"/>
          <w:color w:val="172126"/>
          <w:sz w:val="19"/>
        </w:rPr>
        <w:t>'nin 2.1 bölümü dâhilinde, alev bacalarında oksidasyon faktörü için kademe 1 ve kademe 2 uygulanır.</w:t>
      </w:r>
    </w:p>
    <w:p>
      <w:pPr>
        <w:pStyle w:val="AnnexSubheading"/>
      </w:pPr>
      <w:r>
        <w:rPr>
          <w:rFonts w:ascii="Avenir Light" w:hAnsi="Avenir Light" w:eastAsia="Avenir Light" w:cs="Avenir Light"/>
          <w:b w:val="0"/>
          <w:i w:val="0"/>
          <w:color w:val="0D5F31"/>
          <w:sz w:val="21"/>
        </w:rPr>
        <w:t xml:space="preserve">2. Yönetmeliğin </w:t>
      </w:r>
      <w:hyperlink w:anchor="ek_1" w:history="1">
        <w:r>
          <w:rPr>
            <w:rFonts w:ascii="Avenir Light" w:hAnsi="Avenir Light" w:eastAsia="Avenir Light" w:cs="Avenir Light"/>
            <w:color w:val="188A42"/>
            <w:sz w:val="21"/>
            <w:szCs w:val="21"/>
          </w:rPr>
          <w:t xml:space="preserve">Ek-1</w:t>
        </w:r>
      </w:hyperlink>
      <w:r>
        <w:rPr>
          <w:rFonts w:ascii="Avenir Light" w:hAnsi="Avenir Light" w:eastAsia="Avenir Light" w:cs="Avenir Light"/>
          <w:b w:val="0"/>
          <w:i w:val="0"/>
          <w:color w:val="0D5F31"/>
          <w:sz w:val="21"/>
        </w:rPr>
        <w:t>’inde Listelenen Petrol Rafinasyonu</w:t>
      </w:r>
    </w:p>
    <w:p>
      <w:pPr>
        <w:pStyle w:val="LegalList"/>
      </w:pPr>
      <w:r>
        <w:rPr>
          <w:rFonts w:ascii="Avenir Light" w:hAnsi="Avenir Light" w:eastAsia="Avenir Light" w:cs="Avenir Light"/>
          <w:b w:val="0"/>
          <w:i w:val="0"/>
          <w:color w:val="172126"/>
          <w:sz w:val="19"/>
        </w:rPr>
        <w:t>A) Kapsam İşletme, rafinerilerde meydana gelen yanma ve üretim proseslerinden kaynaklanan tüm CO 2 emisyonlarını izler ve raporlar. İşletme en az aşağıdaki potansiyel CO 2 emisyon kaynaklarını dahil eder: buhar kazanları, proses ısıtıcıları/treaters, içten yanmalı motorlar/türbinler, katalitik ve termal oksitleyiciler, kok işleyen fırınlar, yangın pompaları, acil durum/yedek jeneratörler, alev bacaları, insineratörler, parçalayıcılar, hidrojen üretim birimleri, Klaus proses birimleri, katalizör rejenerasyon (katalitik kraking ve diğer katalitik işlemleri ile) ve koklaştırıcı (fleksi-koklaştırıcı, geciktirilmiş koklaştırma).</w:t>
      </w:r>
    </w:p>
    <w:p>
      <w:pPr>
        <w:pStyle w:val="LegalList"/>
      </w:pPr>
      <w:r>
        <w:rPr>
          <w:rFonts w:ascii="Avenir Light" w:hAnsi="Avenir Light" w:eastAsia="Avenir Light" w:cs="Avenir Light"/>
          <w:b w:val="0"/>
          <w:i w:val="0"/>
          <w:color w:val="172126"/>
          <w:sz w:val="19"/>
        </w:rPr>
        <w:t xml:space="preserve">B) Özel İzleme Kuralları Baca gazı yıkama işleminin de dahil olduğu yanma emisyonları için petrol rafinasyon faaliyetlerinin izlenmesi bu Ekin 1inci kısmına uygun olarak yürütülür. İşletme, bütün rafineri için veya ağır petrol gazlaştırma veya kalsinasyon tesisleri gibi her bir proses birimi için </w:t>
      </w:r>
      <w:hyperlink w:anchor="madde_23" w:history="1">
        <w:r>
          <w:rPr>
            <w:rFonts w:ascii="Avenir Light" w:hAnsi="Avenir Light" w:eastAsia="Avenir Light" w:cs="Avenir Light"/>
            <w:color w:val="188A42"/>
            <w:sz w:val="19"/>
            <w:szCs w:val="19"/>
          </w:rPr>
          <w:t xml:space="preserve">23 üncü madde</w:t>
        </w:r>
      </w:hyperlink>
      <w:r>
        <w:rPr>
          <w:rFonts w:ascii="Avenir Light" w:hAnsi="Avenir Light" w:eastAsia="Avenir Light" w:cs="Avenir Light"/>
          <w:b w:val="0"/>
          <w:i w:val="0"/>
          <w:color w:val="172126"/>
          <w:sz w:val="19"/>
        </w:rPr>
        <w:t xml:space="preserve"> ile uyumlu olarak kütle dengesi yöntemini kullanabilir. Standart yöntem ve kütle dengesi yöntem kombinasyonları kullanıldığında, işletme Bakanlığa kapsamdaki emisyonların eksiksizliğine ve emisyonların mükerrer sayımının olmadığına dair bilgi ve belgeleri sunar. Özel olarak hidrojen üretimi yapan üretim birimleri kaynaklı emiyonlar bu ekin </w:t>
      </w:r>
      <w:hyperlink w:anchor="madde_19" w:history="1">
        <w:r>
          <w:rPr>
            <w:rFonts w:ascii="Avenir Light" w:hAnsi="Avenir Light" w:eastAsia="Avenir Light" w:cs="Avenir Light"/>
            <w:color w:val="188A42"/>
            <w:sz w:val="19"/>
            <w:szCs w:val="19"/>
          </w:rPr>
          <w:t xml:space="preserve">19 uncu madde</w:t>
        </w:r>
      </w:hyperlink>
      <w:r>
        <w:rPr>
          <w:rFonts w:ascii="Avenir Light" w:hAnsi="Avenir Light" w:eastAsia="Avenir Light" w:cs="Avenir Light"/>
          <w:b w:val="0"/>
          <w:i w:val="0"/>
          <w:color w:val="172126"/>
          <w:sz w:val="19"/>
        </w:rPr>
        <w:t xml:space="preserve">si uyarınca izlenir. Katalitik kraking rejenerasyonu, diğer katalizör rejenerasyonu ve fleksi-koklaştırıcılardan kaynaklanan emisyonlar, giren havanın ve baca gazının durumu dikkate alınarak, kütle dengesi yöntemi kullanılarak izlenir. Kütle ilişkisi uygulayarak: t CO 2 = t CO * 1,571, baca gazındaki tüm CO, CO 2 olarak kabul edilir. Giren hava ve baca gazına ilişkin analizler ve kademe seçimi </w:t>
      </w:r>
      <w:hyperlink w:anchor="madde_30" w:history="1">
        <w:r>
          <w:rPr>
            <w:rFonts w:ascii="Avenir Light" w:hAnsi="Avenir Light" w:eastAsia="Avenir Light" w:cs="Avenir Light"/>
            <w:color w:val="188A42"/>
            <w:sz w:val="19"/>
            <w:szCs w:val="19"/>
          </w:rPr>
          <w:t xml:space="preserve">30 uncu madde</w:t>
        </w:r>
      </w:hyperlink>
      <w:r>
        <w:rPr>
          <w:rFonts w:ascii="Avenir Light" w:hAnsi="Avenir Light" w:eastAsia="Avenir Light" w:cs="Avenir Light"/>
          <w:b w:val="0"/>
          <w:i w:val="0"/>
          <w:color w:val="172126"/>
          <w:sz w:val="19"/>
        </w:rPr>
        <w:t xml:space="preserve">den </w:t>
      </w:r>
      <w:hyperlink w:anchor="madde_33" w:history="1">
        <w:r>
          <w:rPr>
            <w:rFonts w:ascii="Avenir Light" w:hAnsi="Avenir Light" w:eastAsia="Avenir Light" w:cs="Avenir Light"/>
            <w:color w:val="188A42"/>
            <w:sz w:val="19"/>
            <w:szCs w:val="19"/>
          </w:rPr>
          <w:t xml:space="preserve">33 üncü madde</w:t>
        </w:r>
      </w:hyperlink>
      <w:r>
        <w:rPr>
          <w:rFonts w:ascii="Avenir Light" w:hAnsi="Avenir Light" w:eastAsia="Avenir Light" w:cs="Avenir Light"/>
          <w:b w:val="0"/>
          <w:i w:val="0"/>
          <w:color w:val="172126"/>
          <w:sz w:val="19"/>
        </w:rPr>
        <w:t>ye kadar olan maddelerin ilgili hükümleri ile uyumluluk içinde olur. Belirli bir hesaplama yöntemi Bakanlık tarafından onaylanır.</w:t>
      </w:r>
    </w:p>
    <w:p>
      <w:pPr>
        <w:pStyle w:val="AnnexSubheading"/>
      </w:pPr>
      <w:r>
        <w:rPr>
          <w:rFonts w:ascii="Avenir Light" w:hAnsi="Avenir Light" w:eastAsia="Avenir Light" w:cs="Avenir Light"/>
          <w:b w:val="0"/>
          <w:i w:val="0"/>
          <w:color w:val="0D5F31"/>
          <w:sz w:val="21"/>
        </w:rPr>
        <w:t xml:space="preserve">3. Yönetmeliğin </w:t>
      </w:r>
      <w:hyperlink w:anchor="ek_1" w:history="1">
        <w:r>
          <w:rPr>
            <w:rFonts w:ascii="Avenir Light" w:hAnsi="Avenir Light" w:eastAsia="Avenir Light" w:cs="Avenir Light"/>
            <w:color w:val="188A42"/>
            <w:sz w:val="21"/>
            <w:szCs w:val="21"/>
          </w:rPr>
          <w:t xml:space="preserve">Ek-1</w:t>
        </w:r>
      </w:hyperlink>
      <w:r>
        <w:rPr>
          <w:rFonts w:ascii="Avenir Light" w:hAnsi="Avenir Light" w:eastAsia="Avenir Light" w:cs="Avenir Light"/>
          <w:b w:val="0"/>
          <w:i w:val="0"/>
          <w:color w:val="0D5F31"/>
          <w:sz w:val="21"/>
        </w:rPr>
        <w:t>’inde Listelenen Kok Üretimi</w:t>
      </w:r>
    </w:p>
    <w:p>
      <w:pPr>
        <w:pStyle w:val="LegalList"/>
      </w:pPr>
      <w:r>
        <w:rPr>
          <w:rFonts w:ascii="Avenir Light" w:hAnsi="Avenir Light" w:eastAsia="Avenir Light" w:cs="Avenir Light"/>
          <w:b w:val="0"/>
          <w:i w:val="0"/>
          <w:color w:val="172126"/>
          <w:sz w:val="19"/>
        </w:rPr>
        <w:t>A) Kapsam İşletme, asgari olarak aşağıdaki potansiyel CO 2 kaynaklarını dahil eder: hammaddeler (kömür veya petrol koku dahil), yakıtlar (doğal gaz dahil), proses gazları (yüksek fırın gazı dahil), diğer yakıtlar ve atık gaz yıkama.</w:t>
      </w:r>
    </w:p>
    <w:p>
      <w:pPr>
        <w:pStyle w:val="LegalList"/>
      </w:pPr>
      <w:r>
        <w:rPr>
          <w:rFonts w:ascii="Avenir Light" w:hAnsi="Avenir Light" w:eastAsia="Avenir Light" w:cs="Avenir Light"/>
          <w:b w:val="0"/>
          <w:i w:val="0"/>
          <w:color w:val="172126"/>
          <w:sz w:val="19"/>
        </w:rPr>
        <w:t xml:space="preserve">B) Özel İzleme Kuralları İşletme, kok üretiminden kaynaklanan emisyonların izlenmesi için </w:t>
      </w:r>
      <w:hyperlink w:anchor="madde_23" w:history="1">
        <w:r>
          <w:rPr>
            <w:rFonts w:ascii="Avenir Light" w:hAnsi="Avenir Light" w:eastAsia="Avenir Light" w:cs="Avenir Light"/>
            <w:color w:val="188A42"/>
            <w:sz w:val="19"/>
            <w:szCs w:val="19"/>
          </w:rPr>
          <w:t xml:space="preserve">23 üncü madde</w:t>
        </w:r>
      </w:hyperlink>
      <w:r>
        <w:rPr>
          <w:rFonts w:ascii="Avenir Light" w:hAnsi="Avenir Light" w:eastAsia="Avenir Light" w:cs="Avenir Light"/>
          <w:b w:val="0"/>
          <w:i w:val="0"/>
          <w:color w:val="172126"/>
          <w:sz w:val="19"/>
        </w:rPr>
        <w:t xml:space="preserve"> ve </w:t>
      </w:r>
      <w:hyperlink w:anchor="ek_2" w:history="1">
        <w:r>
          <w:rPr>
            <w:rFonts w:ascii="Avenir Light" w:hAnsi="Avenir Light" w:eastAsia="Avenir Light" w:cs="Avenir Light"/>
            <w:color w:val="188A42"/>
            <w:sz w:val="19"/>
            <w:szCs w:val="19"/>
          </w:rPr>
          <w:t xml:space="preserve">ek-2</w:t>
        </w:r>
      </w:hyperlink>
      <w:r>
        <w:rPr>
          <w:rFonts w:ascii="Avenir Light" w:hAnsi="Avenir Light" w:eastAsia="Avenir Light" w:cs="Avenir Light"/>
          <w:b w:val="0"/>
          <w:i w:val="0"/>
          <w:color w:val="172126"/>
          <w:sz w:val="19"/>
        </w:rPr>
        <w:t xml:space="preserve">'nin üçüncü bölümü ile uyumlu olarak kütle dengesi yöntemini veya </w:t>
      </w:r>
      <w:hyperlink w:anchor="madde_22" w:history="1">
        <w:r>
          <w:rPr>
            <w:rFonts w:ascii="Avenir Light" w:hAnsi="Avenir Light" w:eastAsia="Avenir Light" w:cs="Avenir Light"/>
            <w:color w:val="188A42"/>
            <w:sz w:val="19"/>
            <w:szCs w:val="19"/>
          </w:rPr>
          <w:t xml:space="preserve">22 nci madde</w:t>
        </w:r>
      </w:hyperlink>
      <w:r>
        <w:rPr>
          <w:rFonts w:ascii="Avenir Light" w:hAnsi="Avenir Light" w:eastAsia="Avenir Light" w:cs="Avenir Light"/>
          <w:b w:val="0"/>
          <w:i w:val="0"/>
          <w:color w:val="172126"/>
          <w:sz w:val="19"/>
        </w:rPr>
        <w:t xml:space="preserve"> ve </w:t>
      </w:r>
      <w:hyperlink w:anchor="ek_2" w:history="1">
        <w:r>
          <w:rPr>
            <w:rFonts w:ascii="Avenir Light" w:hAnsi="Avenir Light" w:eastAsia="Avenir Light" w:cs="Avenir Light"/>
            <w:color w:val="188A42"/>
            <w:sz w:val="19"/>
            <w:szCs w:val="19"/>
          </w:rPr>
          <w:t xml:space="preserve">ek-2</w:t>
        </w:r>
      </w:hyperlink>
      <w:r>
        <w:rPr>
          <w:rFonts w:ascii="Avenir Light" w:hAnsi="Avenir Light" w:eastAsia="Avenir Light" w:cs="Avenir Light"/>
          <w:b w:val="0"/>
          <w:i w:val="0"/>
          <w:color w:val="172126"/>
          <w:sz w:val="19"/>
        </w:rPr>
        <w:t xml:space="preserve">'nin ikinci bölümü ve </w:t>
      </w:r>
      <w:hyperlink w:anchor="ek_2" w:history="1">
        <w:r>
          <w:rPr>
            <w:rFonts w:ascii="Avenir Light" w:hAnsi="Avenir Light" w:eastAsia="Avenir Light" w:cs="Avenir Light"/>
            <w:color w:val="188A42"/>
            <w:sz w:val="19"/>
            <w:szCs w:val="19"/>
          </w:rPr>
          <w:t xml:space="preserve">ek-2</w:t>
        </w:r>
      </w:hyperlink>
      <w:r>
        <w:rPr>
          <w:rFonts w:ascii="Avenir Light" w:hAnsi="Avenir Light" w:eastAsia="Avenir Light" w:cs="Avenir Light"/>
          <w:b w:val="0"/>
          <w:i w:val="0"/>
          <w:color w:val="172126"/>
          <w:sz w:val="19"/>
        </w:rPr>
        <w:t>'nin dördüncü bölümü ile uyumlu olarak standart yöntemi kullanır.</w:t>
      </w:r>
    </w:p>
    <w:p>
      <w:pPr>
        <w:pStyle w:val="AnnexSubheading"/>
      </w:pPr>
      <w:r>
        <w:rPr>
          <w:rFonts w:ascii="Avenir Light" w:hAnsi="Avenir Light" w:eastAsia="Avenir Light" w:cs="Avenir Light"/>
          <w:b w:val="0"/>
          <w:i w:val="0"/>
          <w:color w:val="0D5F31"/>
          <w:sz w:val="21"/>
        </w:rPr>
        <w:t xml:space="preserve">4. Yönetmeliğin </w:t>
      </w:r>
      <w:hyperlink w:anchor="ek_1" w:history="1">
        <w:r>
          <w:rPr>
            <w:rFonts w:ascii="Avenir Light" w:hAnsi="Avenir Light" w:eastAsia="Avenir Light" w:cs="Avenir Light"/>
            <w:color w:val="188A42"/>
            <w:sz w:val="21"/>
            <w:szCs w:val="21"/>
          </w:rPr>
          <w:t xml:space="preserve">Ek-1</w:t>
        </w:r>
      </w:hyperlink>
      <w:r>
        <w:rPr>
          <w:rFonts w:ascii="Avenir Light" w:hAnsi="Avenir Light" w:eastAsia="Avenir Light" w:cs="Avenir Light"/>
          <w:b w:val="0"/>
          <w:i w:val="0"/>
          <w:color w:val="0D5F31"/>
          <w:sz w:val="21"/>
        </w:rPr>
        <w:t>’inde Listelenen Metal Cevherinin Kavrulması ve Sinterlenmesi</w:t>
      </w:r>
    </w:p>
    <w:p>
      <w:pPr>
        <w:pStyle w:val="LegalList"/>
      </w:pPr>
      <w:r>
        <w:rPr>
          <w:rFonts w:ascii="Avenir Light" w:hAnsi="Avenir Light" w:eastAsia="Avenir Light" w:cs="Avenir Light"/>
          <w:b w:val="0"/>
          <w:i w:val="0"/>
          <w:color w:val="172126"/>
          <w:sz w:val="19"/>
        </w:rPr>
        <w:t>A) Kapsam İşletme asgari olarak aşağıdaki potansiyel CO 2 kaynaklarını dahil eder: hammaddeler (kireçtaşının kalsinasyonu, dolomit ve karbonatlı demir cevheri, FeCO 3 dahil), yakıtlar (doğal gaz ve kok/kok tozu dahil), proses gazları (kok fırın gazı ve yüksek fırın gazı dahil), sinter tesisinin neden olduğu filtre edilmiş toz dahil olmak üzere girdi malzemesi olarak kullanılan proses kalıntıları, dönüştürücüler ve yüksek fırın, diğer yakıtlar ve atık gaz yıkaması.</w:t>
      </w:r>
    </w:p>
    <w:p>
      <w:pPr>
        <w:pStyle w:val="LegalList"/>
      </w:pPr>
      <w:r>
        <w:rPr>
          <w:rFonts w:ascii="Avenir Light" w:hAnsi="Avenir Light" w:eastAsia="Avenir Light" w:cs="Avenir Light"/>
          <w:b w:val="0"/>
          <w:i w:val="0"/>
          <w:color w:val="172126"/>
          <w:sz w:val="19"/>
        </w:rPr>
        <w:t xml:space="preserve">B) Özel İzleme Kuralları İşletme, metal cevherinin kavrulması, sinterlenmesi veya peletlenmesinden kaynaklanan emisyonların izlenmesi için, </w:t>
      </w:r>
      <w:hyperlink w:anchor="madde_23" w:history="1">
        <w:r>
          <w:rPr>
            <w:rFonts w:ascii="Avenir Light" w:hAnsi="Avenir Light" w:eastAsia="Avenir Light" w:cs="Avenir Light"/>
            <w:color w:val="188A42"/>
            <w:sz w:val="19"/>
            <w:szCs w:val="19"/>
          </w:rPr>
          <w:t xml:space="preserve">23 üncü madde</w:t>
        </w:r>
      </w:hyperlink>
      <w:r>
        <w:rPr>
          <w:rFonts w:ascii="Avenir Light" w:hAnsi="Avenir Light" w:eastAsia="Avenir Light" w:cs="Avenir Light"/>
          <w:b w:val="0"/>
          <w:i w:val="0"/>
          <w:color w:val="172126"/>
          <w:sz w:val="19"/>
        </w:rPr>
        <w:t xml:space="preserve"> ve </w:t>
      </w:r>
      <w:hyperlink w:anchor="ek_2" w:history="1">
        <w:r>
          <w:rPr>
            <w:rFonts w:ascii="Avenir Light" w:hAnsi="Avenir Light" w:eastAsia="Avenir Light" w:cs="Avenir Light"/>
            <w:color w:val="188A42"/>
            <w:sz w:val="19"/>
            <w:szCs w:val="19"/>
          </w:rPr>
          <w:t xml:space="preserve">ek-2</w:t>
        </w:r>
      </w:hyperlink>
      <w:r>
        <w:rPr>
          <w:rFonts w:ascii="Avenir Light" w:hAnsi="Avenir Light" w:eastAsia="Avenir Light" w:cs="Avenir Light"/>
          <w:b w:val="0"/>
          <w:i w:val="0"/>
          <w:color w:val="172126"/>
          <w:sz w:val="19"/>
        </w:rPr>
        <w:t xml:space="preserve">'nin üçüncü bölümü ile uyumlu olarak kütle dengesi yöntemini veya </w:t>
      </w:r>
      <w:hyperlink w:anchor="madde_22" w:history="1">
        <w:r>
          <w:rPr>
            <w:rFonts w:ascii="Avenir Light" w:hAnsi="Avenir Light" w:eastAsia="Avenir Light" w:cs="Avenir Light"/>
            <w:color w:val="188A42"/>
            <w:sz w:val="19"/>
            <w:szCs w:val="19"/>
          </w:rPr>
          <w:t xml:space="preserve">22 nci madde</w:t>
        </w:r>
      </w:hyperlink>
      <w:r>
        <w:rPr>
          <w:rFonts w:ascii="Avenir Light" w:hAnsi="Avenir Light" w:eastAsia="Avenir Light" w:cs="Avenir Light"/>
          <w:b w:val="0"/>
          <w:i w:val="0"/>
          <w:color w:val="172126"/>
          <w:sz w:val="19"/>
        </w:rPr>
        <w:t xml:space="preserve"> ve </w:t>
      </w:r>
      <w:hyperlink w:anchor="ek_2" w:history="1">
        <w:r>
          <w:rPr>
            <w:rFonts w:ascii="Avenir Light" w:hAnsi="Avenir Light" w:eastAsia="Avenir Light" w:cs="Avenir Light"/>
            <w:color w:val="188A42"/>
            <w:sz w:val="19"/>
            <w:szCs w:val="19"/>
          </w:rPr>
          <w:t xml:space="preserve">ek-2</w:t>
        </w:r>
      </w:hyperlink>
      <w:r>
        <w:rPr>
          <w:rFonts w:ascii="Avenir Light" w:hAnsi="Avenir Light" w:eastAsia="Avenir Light" w:cs="Avenir Light"/>
          <w:b w:val="0"/>
          <w:i w:val="0"/>
          <w:color w:val="172126"/>
          <w:sz w:val="19"/>
        </w:rPr>
        <w:t xml:space="preserve">'nin ikinci bölümü, </w:t>
      </w:r>
      <w:hyperlink w:anchor="ek_2" w:history="1">
        <w:r>
          <w:rPr>
            <w:rFonts w:ascii="Avenir Light" w:hAnsi="Avenir Light" w:eastAsia="Avenir Light" w:cs="Avenir Light"/>
            <w:color w:val="188A42"/>
            <w:sz w:val="19"/>
            <w:szCs w:val="19"/>
          </w:rPr>
          <w:t xml:space="preserve">ek-2</w:t>
        </w:r>
      </w:hyperlink>
      <w:r>
        <w:rPr>
          <w:rFonts w:ascii="Avenir Light" w:hAnsi="Avenir Light" w:eastAsia="Avenir Light" w:cs="Avenir Light"/>
          <w:b w:val="0"/>
          <w:i w:val="0"/>
          <w:color w:val="172126"/>
          <w:sz w:val="19"/>
        </w:rPr>
        <w:t>'nin dördüncü ve beşinci bölümü ile uyumlu olarak standart yöntemi kullanır.</w:t>
      </w:r>
    </w:p>
    <w:p>
      <w:pPr>
        <w:pStyle w:val="AnnexSubheading"/>
      </w:pPr>
      <w:r>
        <w:rPr>
          <w:rFonts w:ascii="Avenir Light" w:hAnsi="Avenir Light" w:eastAsia="Avenir Light" w:cs="Avenir Light"/>
          <w:b w:val="0"/>
          <w:i w:val="0"/>
          <w:color w:val="0D5F31"/>
          <w:sz w:val="21"/>
        </w:rPr>
        <w:t xml:space="preserve">5. Yönetmeliğin </w:t>
      </w:r>
      <w:hyperlink w:anchor="ek_1" w:history="1">
        <w:r>
          <w:rPr>
            <w:rFonts w:ascii="Avenir Light" w:hAnsi="Avenir Light" w:eastAsia="Avenir Light" w:cs="Avenir Light"/>
            <w:color w:val="188A42"/>
            <w:sz w:val="21"/>
            <w:szCs w:val="21"/>
          </w:rPr>
          <w:t xml:space="preserve">Ek-1</w:t>
        </w:r>
      </w:hyperlink>
      <w:r>
        <w:rPr>
          <w:rFonts w:ascii="Avenir Light" w:hAnsi="Avenir Light" w:eastAsia="Avenir Light" w:cs="Avenir Light"/>
          <w:b w:val="0"/>
          <w:i w:val="0"/>
          <w:color w:val="0D5F31"/>
          <w:sz w:val="21"/>
        </w:rPr>
        <w:t>’inde Listelenen Pik Demir ve Çelik Üretimi</w:t>
      </w:r>
    </w:p>
    <w:p>
      <w:pPr>
        <w:pStyle w:val="LegalList"/>
      </w:pPr>
      <w:r>
        <w:rPr>
          <w:rFonts w:ascii="Avenir Light" w:hAnsi="Avenir Light" w:eastAsia="Avenir Light" w:cs="Avenir Light"/>
          <w:b w:val="0"/>
          <w:i w:val="0"/>
          <w:color w:val="172126"/>
          <w:sz w:val="19"/>
        </w:rPr>
        <w:t>A) Kapsam İşletme en az aşağıdaki potansiyel CO 2 kaynaklarını dahil eder: hammaddeler (kireçtaşının kalsinasyonu, dolomit ve karbonatlı demir cevheri, FeCO 3 dahil), yakıtlar (doğal gaz, kömür ve kok), indirgeyici madde (kok, kömür ve plastikler dahil), proses gazları (kok fırın gazı, yüksek fırın gazı ve bazik oksijen fırın gazı dahil), grafit elektrotların tüketimi, diğer yakıtlar ve atık gaz yıkaması.</w:t>
      </w:r>
    </w:p>
    <w:p>
      <w:pPr>
        <w:pStyle w:val="LegalList"/>
      </w:pPr>
      <w:r>
        <w:rPr>
          <w:rFonts w:ascii="Avenir Light" w:hAnsi="Avenir Light" w:eastAsia="Avenir Light" w:cs="Avenir Light"/>
          <w:b w:val="0"/>
          <w:i w:val="0"/>
          <w:color w:val="172126"/>
          <w:sz w:val="19"/>
        </w:rPr>
        <w:t xml:space="preserve">B) Özel İzleme Kuralları İşletme, pik demir ve çelik üretiminden kaynaklanan emisyonların izlenmesi için emisyonların eksik olmasını ve mükerrer sayımını engelleyecek şekilde, asgari olarak kaynak akışlarının bir kısmında </w:t>
      </w:r>
      <w:hyperlink w:anchor="madde_23" w:history="1">
        <w:r>
          <w:rPr>
            <w:rFonts w:ascii="Avenir Light" w:hAnsi="Avenir Light" w:eastAsia="Avenir Light" w:cs="Avenir Light"/>
            <w:color w:val="188A42"/>
            <w:sz w:val="19"/>
            <w:szCs w:val="19"/>
          </w:rPr>
          <w:t xml:space="preserve">23 üncü madde</w:t>
        </w:r>
      </w:hyperlink>
      <w:r>
        <w:rPr>
          <w:rFonts w:ascii="Avenir Light" w:hAnsi="Avenir Light" w:eastAsia="Avenir Light" w:cs="Avenir Light"/>
          <w:b w:val="0"/>
          <w:i w:val="0"/>
          <w:color w:val="172126"/>
          <w:sz w:val="19"/>
        </w:rPr>
        <w:t xml:space="preserve"> ve </w:t>
      </w:r>
      <w:hyperlink w:anchor="ek_2" w:history="1">
        <w:r>
          <w:rPr>
            <w:rFonts w:ascii="Avenir Light" w:hAnsi="Avenir Light" w:eastAsia="Avenir Light" w:cs="Avenir Light"/>
            <w:color w:val="188A42"/>
            <w:sz w:val="19"/>
            <w:szCs w:val="19"/>
          </w:rPr>
          <w:t xml:space="preserve">ek-2</w:t>
        </w:r>
      </w:hyperlink>
      <w:r>
        <w:rPr>
          <w:rFonts w:ascii="Avenir Light" w:hAnsi="Avenir Light" w:eastAsia="Avenir Light" w:cs="Avenir Light"/>
          <w:b w:val="0"/>
          <w:i w:val="0"/>
          <w:color w:val="172126"/>
          <w:sz w:val="19"/>
        </w:rPr>
        <w:t xml:space="preserve">'nin üçüncü bölümü ile uyumlu olarak kütle dengesi yöntemini veya </w:t>
      </w:r>
      <w:hyperlink w:anchor="madde_22" w:history="1">
        <w:r>
          <w:rPr>
            <w:rFonts w:ascii="Avenir Light" w:hAnsi="Avenir Light" w:eastAsia="Avenir Light" w:cs="Avenir Light"/>
            <w:color w:val="188A42"/>
            <w:sz w:val="19"/>
            <w:szCs w:val="19"/>
          </w:rPr>
          <w:t xml:space="preserve">22 nci madde</w:t>
        </w:r>
      </w:hyperlink>
      <w:r>
        <w:rPr>
          <w:rFonts w:ascii="Avenir Light" w:hAnsi="Avenir Light" w:eastAsia="Avenir Light" w:cs="Avenir Light"/>
          <w:b w:val="0"/>
          <w:i w:val="0"/>
          <w:color w:val="172126"/>
          <w:sz w:val="19"/>
        </w:rPr>
        <w:t xml:space="preserve"> ve </w:t>
      </w:r>
      <w:hyperlink w:anchor="ek_2" w:history="1">
        <w:r>
          <w:rPr>
            <w:rFonts w:ascii="Avenir Light" w:hAnsi="Avenir Light" w:eastAsia="Avenir Light" w:cs="Avenir Light"/>
            <w:color w:val="188A42"/>
            <w:sz w:val="19"/>
            <w:szCs w:val="19"/>
          </w:rPr>
          <w:t xml:space="preserve">ek-2</w:t>
        </w:r>
      </w:hyperlink>
      <w:r>
        <w:rPr>
          <w:rFonts w:ascii="Avenir Light" w:hAnsi="Avenir Light" w:eastAsia="Avenir Light" w:cs="Avenir Light"/>
          <w:b w:val="0"/>
          <w:i w:val="0"/>
          <w:color w:val="172126"/>
          <w:sz w:val="19"/>
        </w:rPr>
        <w:t xml:space="preserve">'nin ikinci bölümü ve </w:t>
      </w:r>
      <w:hyperlink w:anchor="ek_2" w:history="1">
        <w:r>
          <w:rPr>
            <w:rFonts w:ascii="Avenir Light" w:hAnsi="Avenir Light" w:eastAsia="Avenir Light" w:cs="Avenir Light"/>
            <w:color w:val="188A42"/>
            <w:sz w:val="19"/>
            <w:szCs w:val="19"/>
          </w:rPr>
          <w:t xml:space="preserve">ek-2</w:t>
        </w:r>
      </w:hyperlink>
      <w:r>
        <w:rPr>
          <w:rFonts w:ascii="Avenir Light" w:hAnsi="Avenir Light" w:eastAsia="Avenir Light" w:cs="Avenir Light"/>
          <w:b w:val="0"/>
          <w:i w:val="0"/>
          <w:color w:val="172126"/>
          <w:sz w:val="19"/>
        </w:rPr>
        <w:t xml:space="preserve">'nin dördüncü bölümü ile uyumlu olarak standart yöntemi kullanır. </w:t>
      </w:r>
      <w:hyperlink w:anchor="ek_2" w:history="1">
        <w:r>
          <w:rPr>
            <w:rFonts w:ascii="Avenir Light" w:hAnsi="Avenir Light" w:eastAsia="Avenir Light" w:cs="Avenir Light"/>
            <w:color w:val="188A42"/>
            <w:sz w:val="19"/>
            <w:szCs w:val="19"/>
          </w:rPr>
          <w:t xml:space="preserve">Ek-2</w:t>
        </w:r>
      </w:hyperlink>
      <w:r>
        <w:rPr>
          <w:rFonts w:ascii="Avenir Light" w:hAnsi="Avenir Light" w:eastAsia="Avenir Light" w:cs="Avenir Light"/>
          <w:b w:val="0"/>
          <w:i w:val="0"/>
          <w:color w:val="172126"/>
          <w:sz w:val="19"/>
        </w:rPr>
        <w:t xml:space="preserve">’nin 3.2 bölümü uyarınca, karbon içeriği için kademe 3 aşağıdaki gibi tanımlanmıştır: Kademe 3: İşletme giriş ve çıkış akışlarının karbon içeriğini, </w:t>
      </w:r>
      <w:hyperlink w:anchor="madde_30" w:history="1">
        <w:r>
          <w:rPr>
            <w:rFonts w:ascii="Avenir Light" w:hAnsi="Avenir Light" w:eastAsia="Avenir Light" w:cs="Avenir Light"/>
            <w:color w:val="188A42"/>
            <w:sz w:val="19"/>
            <w:szCs w:val="19"/>
          </w:rPr>
          <w:t xml:space="preserve">30 uncu madde</w:t>
        </w:r>
      </w:hyperlink>
      <w:r>
        <w:rPr>
          <w:rFonts w:ascii="Avenir Light" w:hAnsi="Avenir Light" w:eastAsia="Avenir Light" w:cs="Avenir Light"/>
          <w:b w:val="0"/>
          <w:i w:val="0"/>
          <w:color w:val="172126"/>
          <w:sz w:val="19"/>
        </w:rPr>
        <w:t xml:space="preserve">den </w:t>
      </w:r>
      <w:hyperlink w:anchor="madde_33" w:history="1">
        <w:r>
          <w:rPr>
            <w:rFonts w:ascii="Avenir Light" w:hAnsi="Avenir Light" w:eastAsia="Avenir Light" w:cs="Avenir Light"/>
            <w:color w:val="188A42"/>
            <w:sz w:val="19"/>
            <w:szCs w:val="19"/>
          </w:rPr>
          <w:t xml:space="preserve">33 üncü madde</w:t>
        </w:r>
      </w:hyperlink>
      <w:r>
        <w:rPr>
          <w:rFonts w:ascii="Avenir Light" w:hAnsi="Avenir Light" w:eastAsia="Avenir Light" w:cs="Avenir Light"/>
          <w:b w:val="0"/>
          <w:i w:val="0"/>
          <w:color w:val="172126"/>
          <w:sz w:val="19"/>
        </w:rPr>
        <w:t xml:space="preserve">ye kadar olan maddeler uyarınca, yakıtların, ürünlerin ve yan ürünlerin temsili örneklemelerine, bunların karbon içeriklerinin ve biyokütle oranlarının belirlenmesine dayanarak elde eder. İşletme, </w:t>
      </w:r>
      <w:hyperlink w:anchor="madde_30" w:history="1">
        <w:r>
          <w:rPr>
            <w:rFonts w:ascii="Avenir Light" w:hAnsi="Avenir Light" w:eastAsia="Avenir Light" w:cs="Avenir Light"/>
            <w:color w:val="188A42"/>
            <w:sz w:val="19"/>
            <w:szCs w:val="19"/>
          </w:rPr>
          <w:t xml:space="preserve">30 uncu madde</w:t>
        </w:r>
      </w:hyperlink>
      <w:r>
        <w:rPr>
          <w:rFonts w:ascii="Avenir Light" w:hAnsi="Avenir Light" w:eastAsia="Avenir Light" w:cs="Avenir Light"/>
          <w:b w:val="0"/>
          <w:i w:val="0"/>
          <w:color w:val="172126"/>
          <w:sz w:val="19"/>
        </w:rPr>
        <w:t xml:space="preserve">den </w:t>
      </w:r>
      <w:hyperlink w:anchor="madde_33" w:history="1">
        <w:r>
          <w:rPr>
            <w:rFonts w:ascii="Avenir Light" w:hAnsi="Avenir Light" w:eastAsia="Avenir Light" w:cs="Avenir Light"/>
            <w:color w:val="188A42"/>
            <w:sz w:val="19"/>
            <w:szCs w:val="19"/>
          </w:rPr>
          <w:t xml:space="preserve">33 üncü madde</w:t>
        </w:r>
      </w:hyperlink>
      <w:r>
        <w:rPr>
          <w:rFonts w:ascii="Avenir Light" w:hAnsi="Avenir Light" w:eastAsia="Avenir Light" w:cs="Avenir Light"/>
          <w:b w:val="0"/>
          <w:i w:val="0"/>
          <w:color w:val="172126"/>
          <w:sz w:val="19"/>
        </w:rPr>
        <w:t>ye kadar olan maddeler uyarınca, ürünlerin veya yarı ürünlerin yıllık analizlerindeki karbon içeriğini temel alır veya karbon içeriğini ilgili uluslararası veya ulusal standartlarda belirlenmiş ortalama kompozisyon değerlerinden elde eder.</w:t>
      </w:r>
    </w:p>
    <w:p>
      <w:pPr>
        <w:pStyle w:val="AnnexSubheading"/>
      </w:pPr>
      <w:r>
        <w:rPr>
          <w:rFonts w:ascii="Avenir Light" w:hAnsi="Avenir Light" w:eastAsia="Avenir Light" w:cs="Avenir Light"/>
          <w:b w:val="0"/>
          <w:i w:val="0"/>
          <w:color w:val="0D5F31"/>
          <w:sz w:val="21"/>
        </w:rPr>
        <w:t xml:space="preserve">6. Yönetmeliğin </w:t>
      </w:r>
      <w:hyperlink w:anchor="ek_1" w:history="1">
        <w:r>
          <w:rPr>
            <w:rFonts w:ascii="Avenir Light" w:hAnsi="Avenir Light" w:eastAsia="Avenir Light" w:cs="Avenir Light"/>
            <w:color w:val="188A42"/>
            <w:sz w:val="21"/>
            <w:szCs w:val="21"/>
          </w:rPr>
          <w:t xml:space="preserve">Ek-1</w:t>
        </w:r>
      </w:hyperlink>
      <w:r>
        <w:rPr>
          <w:rFonts w:ascii="Avenir Light" w:hAnsi="Avenir Light" w:eastAsia="Avenir Light" w:cs="Avenir Light"/>
          <w:b w:val="0"/>
          <w:i w:val="0"/>
          <w:color w:val="0D5F31"/>
          <w:sz w:val="21"/>
        </w:rPr>
        <w:t>’inde Listelenen Demir ve Demir Dışı Metallerin Üretimi veya</w:t>
      </w:r>
    </w:p>
    <w:p>
      <w:pPr>
        <w:pStyle w:val="ArticleText"/>
      </w:pPr>
      <w:r>
        <w:rPr>
          <w:rFonts w:ascii="Avenir Light" w:hAnsi="Avenir Light" w:eastAsia="Avenir Light" w:cs="Avenir Light"/>
          <w:b w:val="0"/>
          <w:i w:val="0"/>
          <w:color w:val="172126"/>
          <w:sz w:val="19"/>
        </w:rPr>
        <w:t>İşlenmesi</w:t>
      </w:r>
    </w:p>
    <w:p>
      <w:pPr>
        <w:pStyle w:val="LegalList"/>
      </w:pPr>
      <w:r>
        <w:rPr>
          <w:rFonts w:ascii="Avenir Light" w:hAnsi="Avenir Light" w:eastAsia="Avenir Light" w:cs="Avenir Light"/>
          <w:b w:val="0"/>
          <w:i w:val="0"/>
          <w:color w:val="172126"/>
          <w:sz w:val="19"/>
        </w:rPr>
        <w:t>A) Kapsam İşletme pik demir, çelik ve birincil alüminyum üretiminden kaynaklanan CO 2 emisyonlarının izlenmesi ve raporlanması için bu bölümdeki hükümleri uygulamaz. İşletme en az aşağıdaki potansiyel CO 2 kaynaklarını dahil eder: yakıtlar, öğütücü tesislerden gelen tane haline getirilmiş plastik malzemeyi içeren alternatif yakıtlar, kok ve grafit elektrotları içeren indirgeyici maddeler, kireçtaşını ve dolomiti içeren hammaddeler, karbon içerikli metal cevherleri ve konsantreler ve ikincil hammaddeler.</w:t>
      </w:r>
    </w:p>
    <w:p>
      <w:pPr>
        <w:pStyle w:val="LegalList"/>
      </w:pPr>
      <w:r>
        <w:rPr>
          <w:rFonts w:ascii="Avenir Light" w:hAnsi="Avenir Light" w:eastAsia="Avenir Light" w:cs="Avenir Light"/>
          <w:b w:val="0"/>
          <w:i w:val="0"/>
          <w:color w:val="172126"/>
          <w:sz w:val="19"/>
        </w:rPr>
        <w:t xml:space="preserve">B) Özel İzleme Kuralları Tesiste kullanılan yakıtlardan veya girdi malzemelerinden kaynaklanan karbon, üretim ürünlerinde veya diğer ürün çıktılarında kaldığı zaman, işletme </w:t>
      </w:r>
      <w:hyperlink w:anchor="madde_23" w:history="1">
        <w:r>
          <w:rPr>
            <w:rFonts w:ascii="Avenir Light" w:hAnsi="Avenir Light" w:eastAsia="Avenir Light" w:cs="Avenir Light"/>
            <w:color w:val="188A42"/>
            <w:sz w:val="19"/>
            <w:szCs w:val="19"/>
          </w:rPr>
          <w:t xml:space="preserve">23 üncü madde</w:t>
        </w:r>
      </w:hyperlink>
      <w:r>
        <w:rPr>
          <w:rFonts w:ascii="Avenir Light" w:hAnsi="Avenir Light" w:eastAsia="Avenir Light" w:cs="Avenir Light"/>
          <w:b w:val="0"/>
          <w:i w:val="0"/>
          <w:color w:val="172126"/>
          <w:sz w:val="19"/>
        </w:rPr>
        <w:t xml:space="preserve"> ve </w:t>
      </w:r>
      <w:hyperlink w:anchor="ek_2" w:history="1">
        <w:r>
          <w:rPr>
            <w:rFonts w:ascii="Avenir Light" w:hAnsi="Avenir Light" w:eastAsia="Avenir Light" w:cs="Avenir Light"/>
            <w:color w:val="188A42"/>
            <w:sz w:val="19"/>
            <w:szCs w:val="19"/>
          </w:rPr>
          <w:t xml:space="preserve">ek-2</w:t>
        </w:r>
      </w:hyperlink>
      <w:r>
        <w:rPr>
          <w:rFonts w:ascii="Avenir Light" w:hAnsi="Avenir Light" w:eastAsia="Avenir Light" w:cs="Avenir Light"/>
          <w:b w:val="0"/>
          <w:i w:val="0"/>
          <w:color w:val="172126"/>
          <w:sz w:val="19"/>
        </w:rPr>
        <w:t xml:space="preserve">'nin üçüncü bölümü uyarınca kütle dengesi yöntemini kullanır. Diğer durumlarda ise </w:t>
      </w:r>
      <w:hyperlink w:anchor="madde_22" w:history="1">
        <w:r>
          <w:rPr>
            <w:rFonts w:ascii="Avenir Light" w:hAnsi="Avenir Light" w:eastAsia="Avenir Light" w:cs="Avenir Light"/>
            <w:color w:val="188A42"/>
            <w:sz w:val="19"/>
            <w:szCs w:val="19"/>
          </w:rPr>
          <w:t xml:space="preserve">22 nci madde</w:t>
        </w:r>
      </w:hyperlink>
      <w:r>
        <w:rPr>
          <w:rFonts w:ascii="Avenir Light" w:hAnsi="Avenir Light" w:eastAsia="Avenir Light" w:cs="Avenir Light"/>
          <w:b w:val="0"/>
          <w:i w:val="0"/>
          <w:color w:val="172126"/>
          <w:sz w:val="19"/>
        </w:rPr>
        <w:t xml:space="preserve">, </w:t>
      </w:r>
      <w:hyperlink w:anchor="ek_2" w:history="1">
        <w:r>
          <w:rPr>
            <w:rFonts w:ascii="Avenir Light" w:hAnsi="Avenir Light" w:eastAsia="Avenir Light" w:cs="Avenir Light"/>
            <w:color w:val="188A42"/>
            <w:sz w:val="19"/>
            <w:szCs w:val="19"/>
          </w:rPr>
          <w:t xml:space="preserve">ek-2</w:t>
        </w:r>
      </w:hyperlink>
      <w:r>
        <w:rPr>
          <w:rFonts w:ascii="Avenir Light" w:hAnsi="Avenir Light" w:eastAsia="Avenir Light" w:cs="Avenir Light"/>
          <w:b w:val="0"/>
          <w:i w:val="0"/>
          <w:color w:val="172126"/>
          <w:sz w:val="19"/>
        </w:rPr>
        <w:t xml:space="preserve">'nin ikinci bölümü ve </w:t>
      </w:r>
      <w:hyperlink w:anchor="ek_2" w:history="1">
        <w:r>
          <w:rPr>
            <w:rFonts w:ascii="Avenir Light" w:hAnsi="Avenir Light" w:eastAsia="Avenir Light" w:cs="Avenir Light"/>
            <w:color w:val="188A42"/>
            <w:sz w:val="19"/>
            <w:szCs w:val="19"/>
          </w:rPr>
          <w:t xml:space="preserve">ek-2</w:t>
        </w:r>
      </w:hyperlink>
      <w:r>
        <w:rPr>
          <w:rFonts w:ascii="Avenir Light" w:hAnsi="Avenir Light" w:eastAsia="Avenir Light" w:cs="Avenir Light"/>
          <w:b w:val="0"/>
          <w:i w:val="0"/>
          <w:color w:val="172126"/>
          <w:sz w:val="19"/>
        </w:rPr>
        <w:t xml:space="preserve">'nin dördüncü bölümü uyarınca işletme, standart yöntemi kullanarak yanma ve proses emisyonunu ayrı ayrı hesaplar. İşletme, emisyonların eksik olmasını ve mükerrer sayımını engelleyecek şekilde, kütle dengesinin kullanıldığı durumlarda yanma proseslerinden kaynaklanan emisyonları dâhil eder veya kaynak akışının bir kısmı için, </w:t>
      </w:r>
      <w:hyperlink w:anchor="madde_22" w:history="1">
        <w:r>
          <w:rPr>
            <w:rFonts w:ascii="Avenir Light" w:hAnsi="Avenir Light" w:eastAsia="Avenir Light" w:cs="Avenir Light"/>
            <w:color w:val="188A42"/>
            <w:sz w:val="19"/>
            <w:szCs w:val="19"/>
          </w:rPr>
          <w:t xml:space="preserve">22 nci madde</w:t>
        </w:r>
      </w:hyperlink>
      <w:r>
        <w:rPr>
          <w:rFonts w:ascii="Avenir Light" w:hAnsi="Avenir Light" w:eastAsia="Avenir Light" w:cs="Avenir Light"/>
          <w:b w:val="0"/>
          <w:i w:val="0"/>
          <w:color w:val="172126"/>
          <w:sz w:val="19"/>
        </w:rPr>
        <w:t xml:space="preserve"> ve bu Ekin birinci bölümü uyarınca standart yöntemi kullanır.</w:t>
      </w:r>
    </w:p>
    <w:p>
      <w:pPr>
        <w:pStyle w:val="AnnexSubheading"/>
      </w:pPr>
      <w:r>
        <w:rPr>
          <w:rFonts w:ascii="Avenir Light" w:hAnsi="Avenir Light" w:eastAsia="Avenir Light" w:cs="Avenir Light"/>
          <w:b w:val="0"/>
          <w:i w:val="0"/>
          <w:color w:val="0D5F31"/>
          <w:sz w:val="21"/>
        </w:rPr>
        <w:t xml:space="preserve">7. Yönetmeliğin </w:t>
      </w:r>
      <w:hyperlink w:anchor="ek_1" w:history="1">
        <w:r>
          <w:rPr>
            <w:rFonts w:ascii="Avenir Light" w:hAnsi="Avenir Light" w:eastAsia="Avenir Light" w:cs="Avenir Light"/>
            <w:color w:val="188A42"/>
            <w:sz w:val="21"/>
            <w:szCs w:val="21"/>
          </w:rPr>
          <w:t xml:space="preserve">Ek-1</w:t>
        </w:r>
      </w:hyperlink>
      <w:r>
        <w:rPr>
          <w:rFonts w:ascii="Avenir Light" w:hAnsi="Avenir Light" w:eastAsia="Avenir Light" w:cs="Avenir Light"/>
          <w:b w:val="0"/>
          <w:i w:val="0"/>
          <w:color w:val="0D5F31"/>
          <w:sz w:val="21"/>
        </w:rPr>
        <w:t>’inde Listelenen Birincil Alüminyumun Üretilmesinden veya</w:t>
      </w:r>
    </w:p>
    <w:p>
      <w:pPr>
        <w:pStyle w:val="ArticleText"/>
      </w:pPr>
      <w:r>
        <w:rPr>
          <w:rFonts w:ascii="Avenir Light" w:hAnsi="Avenir Light" w:eastAsia="Avenir Light" w:cs="Avenir Light"/>
          <w:b w:val="0"/>
          <w:i w:val="0"/>
          <w:color w:val="172126"/>
          <w:sz w:val="19"/>
        </w:rPr>
        <w:t>İşlenmesinden Kaynaklanan CO 2 Emisyonları</w:t>
      </w:r>
    </w:p>
    <w:p>
      <w:pPr>
        <w:pStyle w:val="LegalList"/>
      </w:pPr>
      <w:r>
        <w:rPr>
          <w:rFonts w:ascii="Avenir Light" w:hAnsi="Avenir Light" w:eastAsia="Avenir Light" w:cs="Avenir Light"/>
          <w:b w:val="0"/>
          <w:i w:val="0"/>
          <w:color w:val="172126"/>
          <w:sz w:val="19"/>
        </w:rPr>
        <w:t>A) Kapsam İşletme, birincil alüminyum ergimesi için elektrotların üretilmesinden kaynaklanan CO 2 emisyonlarının izlenmesi ve raporlanması için bu tip elektrotların üretimini yapan bağımsız tesisler de dahil olmak üzere aşağıdaki hükümleri uygular. İşletme en az belirtilen potansiyel CO 2 kaynaklarını dâhil eder: ısı veya buhar üretimi için kullanılan yakıtlar, elektrot üretimi, elektrot tüketimi ile ilgili olan elektroliz esnasındaki Al 2 O 3 ’ün indirgenmesi ve atık gaz yıkaması için soda külü veya diğer karbonatların kullanımı. Kaçak emisyonlar da dâhil olmak üzere, anot etkilerinin neden olduğu perflorokarbon (PFC) emisyonları bu Ekin sekizinci bölümüne uygun olarak izlenir.</w:t>
      </w:r>
    </w:p>
    <w:p>
      <w:pPr>
        <w:pStyle w:val="LegalList"/>
      </w:pPr>
      <w:r>
        <w:rPr>
          <w:rFonts w:ascii="Avenir Light" w:hAnsi="Avenir Light" w:eastAsia="Avenir Light" w:cs="Avenir Light"/>
          <w:b w:val="0"/>
          <w:i w:val="0"/>
          <w:color w:val="172126"/>
          <w:sz w:val="19"/>
        </w:rPr>
        <w:t xml:space="preserve">B) Özel İzleme Kuralları İşletme, birincil alüminyum üretiminden veya işlenmesinden kaynaklanan CO 2 emisyonlarını, </w:t>
      </w:r>
      <w:hyperlink w:anchor="madde_24" w:history="1">
        <w:r>
          <w:rPr>
            <w:rFonts w:ascii="Avenir Light" w:hAnsi="Avenir Light" w:eastAsia="Avenir Light" w:cs="Avenir Light"/>
            <w:color w:val="188A42"/>
            <w:sz w:val="19"/>
            <w:szCs w:val="19"/>
          </w:rPr>
          <w:t xml:space="preserve">24 üncü madde</w:t>
        </w:r>
      </w:hyperlink>
      <w:r>
        <w:rPr>
          <w:rFonts w:ascii="Avenir Light" w:hAnsi="Avenir Light" w:eastAsia="Avenir Light" w:cs="Avenir Light"/>
          <w:b w:val="0"/>
          <w:i w:val="0"/>
          <w:color w:val="172126"/>
          <w:sz w:val="19"/>
        </w:rPr>
        <w:t xml:space="preserve">ye uygun olarak kütle dengesi yöntemini kullanarak belirler. Kütle denge yöntemi, elektrolizdeki elektrot tüketimine ek olarak elektrotların karıştırılması, şekillendirilmesi, fırınlanması ve geri dönüşümü ile ilgili girdiler, stoklar, ürünler ve diğer ihraç mallarındaki tüm karbonu dikkate alır. Önceden fırınlanmış anotların kullanıldığı durumlarda, üretim ve tüketim için ayrı kütle dengeleri veya elektrotların hem üretimini hem de tüketimini dikkate alan ortak bir kütle dengesi uygulanır. Søderberg hücreleri için işletme ortak bir kütle dengesi kullanır. İşletme, yanma proseslerinden kaynaklanan emisyonları kütle dengesine dahil eder veya bu Ekin birinci bölümü ve </w:t>
      </w:r>
      <w:hyperlink w:anchor="madde_22" w:history="1">
        <w:r>
          <w:rPr>
            <w:rFonts w:ascii="Avenir Light" w:hAnsi="Avenir Light" w:eastAsia="Avenir Light" w:cs="Avenir Light"/>
            <w:color w:val="188A42"/>
            <w:sz w:val="19"/>
            <w:szCs w:val="19"/>
          </w:rPr>
          <w:t xml:space="preserve">22 nci madde</w:t>
        </w:r>
      </w:hyperlink>
      <w:r>
        <w:rPr>
          <w:rFonts w:ascii="Avenir Light" w:hAnsi="Avenir Light" w:eastAsia="Avenir Light" w:cs="Avenir Light"/>
          <w:b w:val="0"/>
          <w:i w:val="0"/>
          <w:color w:val="172126"/>
          <w:sz w:val="19"/>
        </w:rPr>
        <w:t xml:space="preserve"> uyarınca, emisyonların eksiksiz olmasını ve mükerrer sayımını engelleyecek şekilde, emisyon kaynak akışlarının en az bir kısmı için standart yöntem kullanır.</w:t>
      </w:r>
    </w:p>
    <w:p>
      <w:pPr>
        <w:pStyle w:val="AnnexSubheading"/>
      </w:pPr>
      <w:r>
        <w:rPr>
          <w:rFonts w:ascii="Avenir Light" w:hAnsi="Avenir Light" w:eastAsia="Avenir Light" w:cs="Avenir Light"/>
          <w:b w:val="0"/>
          <w:i w:val="0"/>
          <w:color w:val="0D5F31"/>
          <w:sz w:val="21"/>
        </w:rPr>
        <w:t xml:space="preserve">8. Yönetmeliğin </w:t>
      </w:r>
      <w:hyperlink w:anchor="ek_1" w:history="1">
        <w:r>
          <w:rPr>
            <w:rFonts w:ascii="Avenir Light" w:hAnsi="Avenir Light" w:eastAsia="Avenir Light" w:cs="Avenir Light"/>
            <w:color w:val="188A42"/>
            <w:sz w:val="21"/>
            <w:szCs w:val="21"/>
          </w:rPr>
          <w:t xml:space="preserve">Ek-1</w:t>
        </w:r>
      </w:hyperlink>
      <w:r>
        <w:rPr>
          <w:rFonts w:ascii="Avenir Light" w:hAnsi="Avenir Light" w:eastAsia="Avenir Light" w:cs="Avenir Light"/>
          <w:b w:val="0"/>
          <w:i w:val="0"/>
          <w:color w:val="0D5F31"/>
          <w:sz w:val="21"/>
        </w:rPr>
        <w:t>’inde Listelenen Birincil Alüminyum Üretimi veya İşlenmesinden</w:t>
      </w:r>
    </w:p>
    <w:p>
      <w:pPr>
        <w:pStyle w:val="ArticleText"/>
      </w:pPr>
      <w:r>
        <w:rPr>
          <w:rFonts w:ascii="Avenir Light" w:hAnsi="Avenir Light" w:eastAsia="Avenir Light" w:cs="Avenir Light"/>
          <w:b w:val="0"/>
          <w:i w:val="0"/>
          <w:color w:val="172126"/>
          <w:sz w:val="19"/>
        </w:rPr>
        <w:t>Kaynaklanan PFC Emisyonları</w:t>
      </w:r>
    </w:p>
    <w:p>
      <w:pPr>
        <w:pStyle w:val="LegalList"/>
      </w:pPr>
      <w:r>
        <w:rPr>
          <w:rFonts w:ascii="Avenir Light" w:hAnsi="Avenir Light" w:eastAsia="Avenir Light" w:cs="Avenir Light"/>
          <w:b w:val="0"/>
          <w:i w:val="0"/>
          <w:color w:val="172126"/>
          <w:sz w:val="19"/>
        </w:rPr>
        <w:t>A) Kapsam İşletme, perflorokarbonların (PFC’lerin) kaçak emisyonları dahil olmak üzere anot etkisinden kaynaklanan PFC emisyonları için aşağıdaki hükümleri uygular. İşletme, ilgili CO 2 emisyonları için elektrot üretiminden kaynaklanan emisyonlar da dahil olmak üzere, bu Ekin yedinci bölümünü uygular.</w:t>
      </w:r>
    </w:p>
    <w:p>
      <w:pPr>
        <w:pStyle w:val="LegalList"/>
      </w:pPr>
      <w:r>
        <w:rPr>
          <w:rFonts w:ascii="Avenir Light" w:hAnsi="Avenir Light" w:eastAsia="Avenir Light" w:cs="Avenir Light"/>
          <w:b w:val="0"/>
          <w:i w:val="0"/>
          <w:color w:val="172126"/>
          <w:sz w:val="19"/>
        </w:rPr>
        <w:t>B) PFC Emisyonlarının Belirlenmesi PFC emisyonları, kanalın toplama verimliliğini kullanarak kaçak emisyonlardan hesaplanmasının yanı sıra kanaldaki veya bacadaki (‘noktasal kaynaklı emisyonlar’) ölçülebilen emisyonlardan da hesaplanır: PFC emisyonları (toplam) = PFC emisyonları (kanaldaki) / toplama verimliliği Tesise özgü emisyon faktörleri belirlendiğinde toplama verimliliği ölçülür. Toplama verimliliğinin belirlenmesi için 2006 IPCC Kılavuzunun 4.4.2.4üncü kısmındaki kademe 3 altında belirtilen kılavuzun en güncel versiyonu kullanılır. İşletme bir kanal veya baca vasıtası ile salınan CF 4 ve C 2 F 6 emisyonlarını aşağıdaki yöntemlerden birini kullanarak hesaplar:</w:t>
      </w:r>
    </w:p>
    <w:p>
      <w:pPr>
        <w:pStyle w:val="LegalList"/>
      </w:pPr>
      <w:r>
        <w:rPr>
          <w:rFonts w:ascii="Avenir Light" w:hAnsi="Avenir Light" w:eastAsia="Avenir Light" w:cs="Avenir Light"/>
          <w:b w:val="0"/>
          <w:i w:val="0"/>
          <w:color w:val="172126"/>
          <w:sz w:val="19"/>
        </w:rPr>
        <w:t>(a) Hücre - gün başına anot etki dakikaları kaydedildiğinde yöntem A;</w:t>
      </w:r>
    </w:p>
    <w:p>
      <w:pPr>
        <w:pStyle w:val="LegalList"/>
      </w:pPr>
      <w:r>
        <w:rPr>
          <w:rFonts w:ascii="Avenir Light" w:hAnsi="Avenir Light" w:eastAsia="Avenir Light" w:cs="Avenir Light"/>
          <w:b w:val="0"/>
          <w:i w:val="0"/>
          <w:color w:val="172126"/>
          <w:sz w:val="19"/>
        </w:rPr>
        <w:t>(b) Anot etkisi aşırı gerilimi kaydedildiğinde Yöntem B. Hesaplama Yöntemi A - Eğim Yöntemi: İşletme, PFC emisyonlarını belirlemek için aşağıdaki denklemleri kullanır: CF 4 emisyonları [t] = AED × (EEF CF4 /1000)× Pr Al C 2 F 6 emisyonları[t] = CF 4 emisyonları * F C2F6 Burada: AED = Anot etkisi dakikası / hücre-gün; EEF CF4 = Eğim emisyon faktörü [(kg CF 4 / t Al üretilen) / (anot etki dakikası / hücre-gün)]. Farklı hücre türleri kullanıldığında, farklı AED uygulanır; Pr Al = Birincil Alüminyumun yıllık üretimi [t]; F C2F6 = C 2 F 6 ağırlık oranı (t C 2 F 6 / t CF 4 ). Hücre-gün başına anot etki dakikaları, anot etkileri ortalama süresinin (anot etki dakikası / ortaya çıktığı durumda) anot etkileri sıklığı (anot etkisi sayısı / hücre-gün) ile çarpılması olarak ifade edilir: AED= sıklık × ortalama süre Emisyon Faktörü: CF 4 için emisyon faktörü (eğim emisyon faktörü, EEF CF4 ) anot etki dakikası /hücre gün başına üretilen ton alüminyum başına salınan CF 4 miktarını [kg] ifade eder. C 2 F 6 için emisyon faktörü (F C2F6 ağırlık oranı) salınan CF 4 miktarına orantılı olarak salınan C 2 F 6 miktarını [t] ifade eder. Kademe 1: İşletme, bu bölümde yer alan Tablo 3.1’deki teknolojiye özgü emisyon faktörlerini kullanır. Kademe 2: Sürekli veya aralıklı saha ölçümlemeleri vasıtası ile oluşturulmuş CF 4 ve C 2 F 6 için işletme tesise özgü emisyon faktörlerini kullanır. Bu emisyon faktörlerinin belirlenmesinde işletme 2006 IPCC Kılavuzlarındaki bölüm 4.4.2.4’deki kademe 3 altında belirtilen kılavuzun en güncel versiyonunu kullanır. Emisyon faktörü anot etkisi dışında kalan emisyonları da dikkate alır. İşletme her bir emisyon faktörünü ±15%’lik azami bir belirsizlik ile belirler. İşletme, emisyon faktörlerini en az üç yılda bir veya tesisteki ilgili değişikliklere bağlı olarak gerekli olduğu durumlarda daha sık aralıklarla belirler. İlgili değişiklikler anot etki süre dağılımındaki bir değişikliği veya anot etki tipleri karışımını veya anot etkisini sonlandırma rutininin doğasını etkileyen kontrol algoritmasındaki bir değişikliği içerir. Tablo 3.1: Eğim yöntemine ilişkin faaliyet verisi ile ilgili teknolojiye özgü emisyon faktörleri.</w:t>
      </w:r>
    </w:p>
    <w:tbl>
      <w:tblPr>
        <w:tblStyle w:val="TableGrid"/>
        <w:tblW w:type="dxa" w:w="9864"/>
        <w:jc w:val="left"/>
        <w:tblLayout w:type="fixed"/>
        <w:tblLook w:firstColumn="1" w:firstRow="1" w:lastColumn="0" w:lastRow="0" w:noHBand="0" w:noVBand="1" w:val="04A0"/>
        <w:tblInd w:w="120" w:type="dxa"/>
      </w:tblPr>
      <w:tblGrid>
        <w:gridCol w:w="1333"/>
        <w:gridCol w:w="4132"/>
        <w:gridCol w:w="4399"/>
      </w:tblGrid>
      <w:tr>
        <w:trPr>
          <w:tblHeader/>
          <w:cantSplit/>
        </w:trPr>
        <w:tc>
          <w:tcPr>
            <w:tcW w:type="dxa" w:w="1333"/>
            <w:vAlign w:val="center"/>
            <w:shd w:fill="0D5F31"/>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FFFFFF"/>
                <w:sz w:val="16"/>
              </w:rPr>
              <w:t>Teknoloji</w:t>
            </w:r>
          </w:p>
        </w:tc>
        <w:tc>
          <w:tcPr>
            <w:tcW w:type="dxa" w:w="4132"/>
            <w:vAlign w:val="center"/>
            <w:shd w:fill="0D5F31"/>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FFFFFF"/>
                <w:sz w:val="16"/>
              </w:rPr>
              <w:t>CF Emisyon Faktörü 4 (EEF ) CF4</w:t>
            </w:r>
          </w:p>
        </w:tc>
        <w:tc>
          <w:tcPr>
            <w:tcW w:type="dxa" w:w="4399"/>
            <w:vAlign w:val="center"/>
            <w:shd w:fill="0D5F31"/>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FFFFFF"/>
                <w:sz w:val="16"/>
              </w:rPr>
              <w:t>C F Emisyon Faktörü 2 6 (F ) C2F6</w:t>
            </w:r>
          </w:p>
        </w:tc>
      </w:tr>
    </w:tbl>
    <w:tbl>
      <w:tblPr>
        <w:tblStyle w:val="TableGrid"/>
        <w:tblW w:type="dxa" w:w="9864"/>
        <w:jc w:val="left"/>
        <w:tblLayout w:type="fixed"/>
        <w:tblLook w:firstColumn="1" w:firstRow="1" w:lastColumn="0" w:lastRow="0" w:noHBand="0" w:noVBand="1" w:val="04A0"/>
        <w:tblInd w:w="120" w:type="dxa"/>
      </w:tblPr>
      <w:tblGrid>
        <w:gridCol w:w="3673"/>
        <w:gridCol w:w="3987"/>
        <w:gridCol w:w="2204"/>
      </w:tblGrid>
      <w:tr>
        <w:trPr>
          <w:tblHeader/>
          <w:cantSplit/>
        </w:trPr>
        <w:tc>
          <w:tcPr>
            <w:tcW w:type="dxa" w:w="3673"/>
            <w:vAlign w:val="center"/>
            <w:shd w:fill="0D5F31"/>
            <w:tcMar>
              <w:top w:w="80" w:type="dxa"/>
              <w:start w:w="120" w:type="dxa"/>
              <w:bottom w:w="80" w:type="dxa"/>
              <w:end w:w="120" w:type="dxa"/>
            </w:tcMar>
          </w:tcPr>
          <w:p>
            <w:pPr>
              <w:spacing w:before="0" w:after="0" w:line="245" w:lineRule="auto"/>
              <w:jc w:val="center"/>
            </w:pPr>
          </w:p>
        </w:tc>
        <w:tc>
          <w:tcPr>
            <w:tcW w:type="dxa" w:w="3987"/>
            <w:vAlign w:val="center"/>
            <w:shd w:fill="0D5F31"/>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FFFFFF"/>
                <w:sz w:val="16"/>
              </w:rPr>
              <w:t>[(kg CF /t Al) / (AE- 4 Dk/hücre-gün)]</w:t>
            </w:r>
          </w:p>
        </w:tc>
        <w:tc>
          <w:tcPr>
            <w:tcW w:type="dxa" w:w="2204"/>
            <w:vAlign w:val="center"/>
            <w:shd w:fill="0D5F31"/>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FFFFFF"/>
                <w:sz w:val="16"/>
              </w:rPr>
              <w:t>[t C F / t CF ] 2 6 4</w:t>
            </w:r>
          </w:p>
        </w:tc>
      </w:tr>
      <w:tr>
        <w:trPr>
          <w:cantSplit/>
        </w:trPr>
        <w:tc>
          <w:tcPr>
            <w:tcW w:type="dxa" w:w="3673"/>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Merkezde İşlenmiş Ön Pişirme (MİÖP)</w:t>
            </w:r>
          </w:p>
        </w:tc>
        <w:tc>
          <w:tcPr>
            <w:tcW w:type="dxa" w:w="3987"/>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0.143</w:t>
            </w:r>
          </w:p>
        </w:tc>
        <w:tc>
          <w:tcPr>
            <w:tcW w:type="dxa" w:w="2204"/>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0.121</w:t>
            </w:r>
          </w:p>
        </w:tc>
      </w:tr>
      <w:tr>
        <w:trPr>
          <w:cantSplit/>
        </w:trPr>
        <w:tc>
          <w:tcPr>
            <w:tcW w:type="dxa" w:w="3673"/>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Dikey Saplama Søderberg (DSS)</w:t>
            </w:r>
          </w:p>
        </w:tc>
        <w:tc>
          <w:tcPr>
            <w:tcW w:type="dxa" w:w="3987"/>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0.092</w:t>
            </w:r>
          </w:p>
        </w:tc>
        <w:tc>
          <w:tcPr>
            <w:tcW w:type="dxa" w:w="2204"/>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0.053</w:t>
            </w:r>
          </w:p>
        </w:tc>
      </w:tr>
    </w:tbl>
    <w:p>
      <w:pPr>
        <w:pStyle w:val="ArticleText"/>
      </w:pPr>
      <w:r>
        <w:rPr>
          <w:rFonts w:ascii="Avenir Light" w:hAnsi="Avenir Light" w:eastAsia="Avenir Light" w:cs="Avenir Light"/>
          <w:b w:val="0"/>
          <w:i w:val="0"/>
          <w:color w:val="172126"/>
          <w:sz w:val="19"/>
        </w:rPr>
        <w:t>Hesaplama Yöntemi B – Aşırı Gerilim Yöntemi: İşletme, anot etkisi aşırı gerilimin ölçüldüğü durumlarda, PFC emisyonlarını belirlemek için aşağıdaki denklemleri kullanır: CF 4 emisyonları [t] = AGK × (AEA/MV)× Br Al × 0.001 C 2 F 6 emisyonları[t] = CF 4 emisyonları × F C2F6 AGK = Aşırı gerilim (mV) başına üretilen alüminyumun tonu başına kg CF 4 olarak ifade edilen aşırı gerilim katsayısı (‘emisyon faktörü’); AEA = Zaman x hedef voltajın üzerindeki voltajın integralinin veri toplama zamanına (süre) bölünmesi olarak belirlenen hücre başına anot etkisi aşırı gerilimi [mV] ; MV = Alüminyum üretiminin ortalama mevcut verimi [%]; Br Al = Yıllık birincil alüminyum üretimi [t]; F C2F6 = C 2 F6 (t C 2 F 6 / t CF 4 ) ağırlık oranı; AEA/MV terimi (Anot etkisi aşırı gerilimi / mevcut verim) ortalama mevcut verim[%] başına zaman entegre ortalama anot etkisi aşırı gerilimini [mV aşırı gerilim] ifade eder. Emisyon Faktörü: CF 4 için emisyon faktörü (‘aşırı gerilim katsayısı’ AGK) milivolt aşırı gerilim [mV] başına üretilen alüminyumun tonu başına salınan CF 4 miktarını [kg] ifade eder. C 2 F 6 için emisyon faktörü (ağırlık oranı F C2F6 ) salınan CF 4 miktarına orantılı olarak salınan C 2 F 6 miktarını [t] ifade eder. Kademe 1: İşletme bu bölümde Tablo 3.2’de yer alan teknolojiye özgü emisyon faktörlerini kullanır. Kademe 2: İşletme, sürekli veya aralıklı saha ölçümleri doğrultusunda oluşturulmuş CF 4 [(kg CF 4 / t Al ) /(mV)] ve C 2 F 6 [t C 2 F 6 / t CF 4 ] için tesise özgü emisyon faktörlerini kullanır. Bu emisyon faktörlerinin belirlenmesi için işletme 2006 IPCC Kılavuzları-4.4.2.4 kısmındaki kademe 3’te belirtilen kılavuzun en güncel versiyonunu kullanır. İşletme her bir emisyon faktörünü ± %15’lik azami bir belirsizlik ile belirler. İşletme emisyon faktörlerini en az üç yılda bir veya tesisteki ilgili değişikliklere bağlı olarak gerekli olduğu durumlarda daha sık aralıklarla belirler. İlgili değişiklikler anot etkisi süre dağılımındaki bir değişikliği veya anot etki tipleri karışımını veya anot etkisini sonlandırma rutininin doğasını etkileyen kontrol algoritmasındaki değişikliği içerir. Tablo 3.2: Aşırı gerilim faaliyet verisi ile ilgili teknolojiye özgü emisyon faktörleri.</w:t>
      </w:r>
    </w:p>
    <w:tbl>
      <w:tblPr>
        <w:tblStyle w:val="TableGrid"/>
        <w:tblW w:type="dxa" w:w="9864"/>
        <w:jc w:val="left"/>
        <w:tblLayout w:type="fixed"/>
        <w:tblLook w:firstColumn="1" w:firstRow="1" w:lastColumn="0" w:lastRow="0" w:noHBand="0" w:noVBand="1" w:val="04A0"/>
        <w:tblInd w:w="120" w:type="dxa"/>
      </w:tblPr>
      <w:tblGrid>
        <w:gridCol w:w="2807"/>
        <w:gridCol w:w="3448"/>
        <w:gridCol w:w="3609"/>
      </w:tblGrid>
      <w:tr>
        <w:trPr>
          <w:tblHeader/>
          <w:cantSplit/>
        </w:trPr>
        <w:tc>
          <w:tcPr>
            <w:tcW w:type="dxa" w:w="2807"/>
            <w:vAlign w:val="center"/>
            <w:shd w:fill="0D5F31"/>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FFFFFF"/>
                <w:sz w:val="16"/>
              </w:rPr>
              <w:t>Teknoloji</w:t>
            </w:r>
          </w:p>
        </w:tc>
        <w:tc>
          <w:tcPr>
            <w:tcW w:type="dxa" w:w="3448"/>
            <w:vAlign w:val="center"/>
            <w:shd w:fill="0D5F31"/>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FFFFFF"/>
                <w:sz w:val="16"/>
              </w:rPr>
              <w:t>CF Emisyon Faktörü 4 [(kg CF /t Al) / mV] 4</w:t>
            </w:r>
          </w:p>
        </w:tc>
        <w:tc>
          <w:tcPr>
            <w:tcW w:type="dxa" w:w="3609"/>
            <w:vAlign w:val="center"/>
            <w:shd w:fill="0D5F31"/>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FFFFFF"/>
                <w:sz w:val="16"/>
              </w:rPr>
              <w:t>C F Emisyon Faktörü 2 6 [t C F / t CF ] 2 6 4</w:t>
            </w:r>
          </w:p>
        </w:tc>
      </w:tr>
      <w:tr>
        <w:trPr>
          <w:cantSplit/>
        </w:trPr>
        <w:tc>
          <w:tcPr>
            <w:tcW w:type="dxa" w:w="2807"/>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Merkezde İşlenmiş Ön Pişirme (MİÖP)</w:t>
            </w:r>
          </w:p>
        </w:tc>
        <w:tc>
          <w:tcPr>
            <w:tcW w:type="dxa" w:w="344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1.16</w:t>
            </w:r>
          </w:p>
        </w:tc>
        <w:tc>
          <w:tcPr>
            <w:tcW w:type="dxa" w:w="3609"/>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0.121</w:t>
            </w:r>
          </w:p>
        </w:tc>
      </w:tr>
      <w:tr>
        <w:trPr>
          <w:cantSplit/>
        </w:trPr>
        <w:tc>
          <w:tcPr>
            <w:tcW w:type="dxa" w:w="2807"/>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Dikey Saplama Søderberg (DSS)</w:t>
            </w:r>
          </w:p>
        </w:tc>
        <w:tc>
          <w:tcPr>
            <w:tcW w:type="dxa" w:w="344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N.A.</w:t>
            </w:r>
          </w:p>
        </w:tc>
        <w:tc>
          <w:tcPr>
            <w:tcW w:type="dxa" w:w="3609"/>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0.053</w:t>
            </w:r>
          </w:p>
        </w:tc>
      </w:tr>
    </w:tbl>
    <w:p>
      <w:pPr>
        <w:pStyle w:val="LegalList"/>
      </w:pPr>
      <w:r>
        <w:rPr>
          <w:rFonts w:ascii="Avenir Light" w:hAnsi="Avenir Light" w:eastAsia="Avenir Light" w:cs="Avenir Light"/>
          <w:b w:val="0"/>
          <w:i w:val="0"/>
          <w:color w:val="172126"/>
          <w:sz w:val="19"/>
        </w:rPr>
        <w:t xml:space="preserve">C) CO 2(eşd) Emisyonlarının Belirlenmesi İşletme, </w:t>
      </w:r>
      <w:hyperlink w:anchor="ek_5" w:history="1">
        <w:r>
          <w:rPr>
            <w:rFonts w:ascii="Avenir Light" w:hAnsi="Avenir Light" w:eastAsia="Avenir Light" w:cs="Avenir Light"/>
            <w:color w:val="188A42"/>
            <w:sz w:val="19"/>
            <w:szCs w:val="19"/>
          </w:rPr>
          <w:t xml:space="preserve">ek-5</w:t>
        </w:r>
      </w:hyperlink>
      <w:r>
        <w:rPr>
          <w:rFonts w:ascii="Avenir Light" w:hAnsi="Avenir Light" w:eastAsia="Avenir Light" w:cs="Avenir Light"/>
          <w:b w:val="0"/>
          <w:i w:val="0"/>
          <w:color w:val="172126"/>
          <w:sz w:val="19"/>
        </w:rPr>
        <w:t>'in 3üncü bölümü Tablo 5.6’da listelenen küresel ısınma potansiyelleri listesini kullanarak, CF 4 ve C 2 F 6 emisyonlarından çıkan CO 2(eşd) emisyonlarını aşağıdaki gibi hesaplar: PFC emisyonları [t CO 2(eşd) ] = CF 4 emisyonları [t] * KIP CF4 + C 2 F 6 emisyonları [t]* KIP C2F6 KIP: Küresel Isınma Potansiyeli</w:t>
      </w:r>
    </w:p>
    <w:p>
      <w:pPr>
        <w:pStyle w:val="AnnexSubheading"/>
      </w:pPr>
      <w:r>
        <w:rPr>
          <w:rFonts w:ascii="Avenir Light" w:hAnsi="Avenir Light" w:eastAsia="Avenir Light" w:cs="Avenir Light"/>
          <w:b w:val="0"/>
          <w:i w:val="0"/>
          <w:color w:val="0D5F31"/>
          <w:sz w:val="21"/>
        </w:rPr>
        <w:t xml:space="preserve">9. Yönetmeliğin </w:t>
      </w:r>
      <w:hyperlink w:anchor="ek_1" w:history="1">
        <w:r>
          <w:rPr>
            <w:rFonts w:ascii="Avenir Light" w:hAnsi="Avenir Light" w:eastAsia="Avenir Light" w:cs="Avenir Light"/>
            <w:color w:val="188A42"/>
            <w:sz w:val="21"/>
            <w:szCs w:val="21"/>
          </w:rPr>
          <w:t xml:space="preserve">Ek-1</w:t>
        </w:r>
      </w:hyperlink>
      <w:r>
        <w:rPr>
          <w:rFonts w:ascii="Avenir Light" w:hAnsi="Avenir Light" w:eastAsia="Avenir Light" w:cs="Avenir Light"/>
          <w:b w:val="0"/>
          <w:i w:val="0"/>
          <w:color w:val="0D5F31"/>
          <w:sz w:val="21"/>
        </w:rPr>
        <w:t>’inde Listelenen Klinker Üretimi</w:t>
      </w:r>
    </w:p>
    <w:p>
      <w:pPr>
        <w:pStyle w:val="LegalList"/>
      </w:pPr>
      <w:r>
        <w:rPr>
          <w:rFonts w:ascii="Avenir Light" w:hAnsi="Avenir Light" w:eastAsia="Avenir Light" w:cs="Avenir Light"/>
          <w:b w:val="0"/>
          <w:i w:val="0"/>
          <w:color w:val="172126"/>
          <w:sz w:val="19"/>
        </w:rPr>
        <w:t>A) Kapsam İşletme, asgari olarak aşağıdaki potansiyel CO 2 emisyon kaynaklarını dahil eder: i. Hammaddelerdeki kireçtaşının kalsinasyonu, ii. Fosil döner fırın yakıtları, iii. Alternatif fosil bazlı döner fırını yakıtları ve hammaddeler, iv. Biyokütle döner fırın yakıtları (biyokütle atıkları), v. Döner fırın dışı yakıtlar, vi. Kireç taşının ve atık gaz yıkamasında kullanılan şist ve hammaddelerin organik karbon içeriği.</w:t>
      </w:r>
    </w:p>
    <w:p>
      <w:pPr>
        <w:pStyle w:val="LegalList"/>
      </w:pPr>
      <w:r>
        <w:rPr>
          <w:rFonts w:ascii="Avenir Light" w:hAnsi="Avenir Light" w:eastAsia="Avenir Light" w:cs="Avenir Light"/>
          <w:b w:val="0"/>
          <w:i w:val="0"/>
          <w:color w:val="172126"/>
          <w:sz w:val="19"/>
        </w:rPr>
        <w:t xml:space="preserve">B) Özel İzleme Kuralları Yanmadan kaynaklanan emisyonlar bu Ekin birinci bölümüne uygun olarak izlenir. Farin bileşenlerinden kaynaklanan proses emisyonları proses girdisinin karbonat içeriğine (Hesaplama yöntemi A) veya üretilen klinker miktarına (hesaplama yöntemi B) dayanarak </w:t>
      </w:r>
      <w:hyperlink w:anchor="ek_2" w:history="1">
        <w:r>
          <w:rPr>
            <w:rFonts w:ascii="Avenir Light" w:hAnsi="Avenir Light" w:eastAsia="Avenir Light" w:cs="Avenir Light"/>
            <w:color w:val="188A42"/>
            <w:sz w:val="19"/>
            <w:szCs w:val="19"/>
          </w:rPr>
          <w:t xml:space="preserve">ek- 2</w:t>
        </w:r>
      </w:hyperlink>
      <w:r>
        <w:rPr>
          <w:rFonts w:ascii="Avenir Light" w:hAnsi="Avenir Light" w:eastAsia="Avenir Light" w:cs="Avenir Light"/>
          <w:b w:val="0"/>
          <w:i w:val="0"/>
          <w:color w:val="172126"/>
          <w:sz w:val="19"/>
        </w:rPr>
        <w:t>'nin dördüncü bölümüne uygun olarak izlenir. Dikkate alınacak karbonatlar en az CaCO 3 , MgCO 3 ve FeCO 3 içerir. Yöntem A kullanıldığı durumda, işletme karbonatları asgari olarak CaCO 3 , MgCO 3 ve FeCO 3 ’ü içerecek şekilde dikkate alır. Yöntem B kullanıldığu durumda işletme karbonatları asgari olarak CaO ve MgO yu dikkate alır ve Bakanlığa diğer hangi karbon kaynaklarının dikkate alınması gerektiğine dair kanıt sunar. Prosesten giderilen toz ve hammaddelerdeki organik karbon ile ilgili CO 2 emisyonları bu bölümün C ve D alt bölümlerine uygun olarak eklenir. Hesaplama Yöntemi A: Girdi Bazlı Döner Fırın Çimento döner fırın tozunun (ÇFT) ve bypass tozunun döner fırını terk ettiği durumlarda işletme ilgili hammaddeyi proses girdisi olarak değerlendirmez, ancak ÇFT’den gelen emisyonları C alt bölümüne uygun olarak hesaplar. Farin karakterize edilemiyorsa, işletme, emisyonların mükerrer sayımını veya geri dönen veya bypass edilen malzemelerden kaynaklanan ihmalleri önleyecek şekilde, faaliyet verisi için belirsizlik gerekliliklerini ayrı ayrı her bir ilgili karbon içeren döner fırın girdisine uygular. Faaliyet verisinin üretilen klinkere göre belirlendiği durumlarda, farin net miktarı bir sahaya özgü deneysel farin/klinker oranı vasıtası ile belirlenir. Bu oran, en az yılda bir kere güncellenir. Hesaplama Yöntemi B: Çıktı Bazlı Klinker İşletme, aşağıdaki yollardan birisini uygulayarak, faaliyet verisini raporlama dönemindeki klinker üretimi[t] olarak belirler:</w:t>
      </w:r>
    </w:p>
    <w:p>
      <w:pPr>
        <w:pStyle w:val="LegalList"/>
      </w:pPr>
      <w:r>
        <w:rPr>
          <w:rFonts w:ascii="Avenir Light" w:hAnsi="Avenir Light" w:eastAsia="Avenir Light" w:cs="Avenir Light"/>
          <w:b w:val="0"/>
          <w:i w:val="0"/>
          <w:color w:val="172126"/>
          <w:sz w:val="19"/>
        </w:rPr>
        <w:t>(a) Klinkerin doğrudan tartılması;</w:t>
      </w:r>
    </w:p>
    <w:p>
      <w:pPr>
        <w:pStyle w:val="LegalList"/>
      </w:pPr>
      <w:r>
        <w:rPr>
          <w:rFonts w:ascii="Avenir Light" w:hAnsi="Avenir Light" w:eastAsia="Avenir Light" w:cs="Avenir Light"/>
          <w:b w:val="0"/>
          <w:i w:val="0"/>
          <w:color w:val="172126"/>
          <w:sz w:val="19"/>
        </w:rPr>
        <w:t xml:space="preserve">(b) Klinker stok değişiminin yanı sıra klinker sevkini ve klinker teminini dikkate alan malzeme dengesi vasıtası ile çimento teslimatlarına bağlı olarak aşağıdaki formül kullanılır: üretilen klinker [t] = ((teslim edilen çimento [t] – çimento stok değişimi [t]) * klinker / çimento oranı [t klinker / t çimento]) - (temin edilen klinker [t]) + (dağıtılan klinker [t]) - (klinker stok değişimi [t]). İşletme, </w:t>
      </w:r>
      <w:hyperlink w:anchor="madde_30" w:history="1">
        <w:r>
          <w:rPr>
            <w:rFonts w:ascii="Avenir Light" w:hAnsi="Avenir Light" w:eastAsia="Avenir Light" w:cs="Avenir Light"/>
            <w:color w:val="188A42"/>
            <w:sz w:val="19"/>
            <w:szCs w:val="19"/>
          </w:rPr>
          <w:t xml:space="preserve">30 uncu madde</w:t>
        </w:r>
      </w:hyperlink>
      <w:r>
        <w:rPr>
          <w:rFonts w:ascii="Avenir Light" w:hAnsi="Avenir Light" w:eastAsia="Avenir Light" w:cs="Avenir Light"/>
          <w:b w:val="0"/>
          <w:i w:val="0"/>
          <w:color w:val="172126"/>
          <w:sz w:val="19"/>
        </w:rPr>
        <w:t xml:space="preserve">den </w:t>
      </w:r>
      <w:hyperlink w:anchor="madde_33" w:history="1">
        <w:r>
          <w:rPr>
            <w:rFonts w:ascii="Avenir Light" w:hAnsi="Avenir Light" w:eastAsia="Avenir Light" w:cs="Avenir Light"/>
            <w:color w:val="188A42"/>
            <w:sz w:val="19"/>
            <w:szCs w:val="19"/>
          </w:rPr>
          <w:t xml:space="preserve">33 üncü madde</w:t>
        </w:r>
      </w:hyperlink>
      <w:r>
        <w:rPr>
          <w:rFonts w:ascii="Avenir Light" w:hAnsi="Avenir Light" w:eastAsia="Avenir Light" w:cs="Avenir Light"/>
          <w:b w:val="0"/>
          <w:i w:val="0"/>
          <w:color w:val="172126"/>
          <w:sz w:val="19"/>
        </w:rPr>
        <w:t xml:space="preserve">ye kadar olan maddeler uyarınca her bir farklı çimento ürünü için çimento / klinker oranını hesaplar ya da çimento teslimatları ve stok değişimleri ve baypas tozu ve çimento döner fırın tozunu içeren ve çimentoya katkı olarak kullanılan bütün diğer malzemelerin farkından oran hesaplar. </w:t>
      </w:r>
      <w:hyperlink w:anchor="ek_2" w:history="1">
        <w:r>
          <w:rPr>
            <w:rFonts w:ascii="Avenir Light" w:hAnsi="Avenir Light" w:eastAsia="Avenir Light" w:cs="Avenir Light"/>
            <w:color w:val="188A42"/>
            <w:sz w:val="19"/>
            <w:szCs w:val="19"/>
          </w:rPr>
          <w:t xml:space="preserve">Ek-2</w:t>
        </w:r>
      </w:hyperlink>
      <w:r>
        <w:rPr>
          <w:rFonts w:ascii="Avenir Light" w:hAnsi="Avenir Light" w:eastAsia="Avenir Light" w:cs="Avenir Light"/>
          <w:b w:val="0"/>
          <w:i w:val="0"/>
          <w:color w:val="172126"/>
          <w:sz w:val="19"/>
        </w:rPr>
        <w:t>'nin dördüncü bölümü uyarınca, emisyon faktörü için kademe 1 aşağıdaki gibi tanımlanır: Kademe 1: İşletme emisyon faktörü olarak 0.525 t CO 2 /t klinker uygular.</w:t>
      </w:r>
    </w:p>
    <w:p>
      <w:pPr>
        <w:pStyle w:val="LegalList"/>
      </w:pPr>
      <w:r>
        <w:rPr>
          <w:rFonts w:ascii="Avenir Light" w:hAnsi="Avenir Light" w:eastAsia="Avenir Light" w:cs="Avenir Light"/>
          <w:b w:val="0"/>
          <w:i w:val="0"/>
          <w:color w:val="172126"/>
          <w:sz w:val="19"/>
        </w:rPr>
        <w:t xml:space="preserve">C) Atılan Toz ile İlgili Emisyonlar İşletme, </w:t>
      </w:r>
      <w:hyperlink w:anchor="madde_22" w:history="1">
        <w:r>
          <w:rPr>
            <w:rFonts w:ascii="Avenir Light" w:hAnsi="Avenir Light" w:eastAsia="Avenir Light" w:cs="Avenir Light"/>
            <w:color w:val="188A42"/>
            <w:sz w:val="19"/>
            <w:szCs w:val="19"/>
          </w:rPr>
          <w:t xml:space="preserve">22 nci madde</w:t>
        </w:r>
      </w:hyperlink>
      <w:r>
        <w:rPr>
          <w:rFonts w:ascii="Avenir Light" w:hAnsi="Avenir Light" w:eastAsia="Avenir Light" w:cs="Avenir Light"/>
          <w:b w:val="0"/>
          <w:i w:val="0"/>
          <w:color w:val="172126"/>
          <w:sz w:val="19"/>
        </w:rPr>
        <w:t xml:space="preserve">nin ikinci fıkrası uyarınca proses emisyonları olarak hesaplanan çimento döner fırın tozunun (ÇFT’nin) kısmi kalsinasyon oranı için düzeltilen, fırın sisteminden çıkan bypass tozuna veya ÇFT’ye ilişkin CO 2 emisyonlarını ekler. </w:t>
      </w:r>
      <w:hyperlink w:anchor="ek_2" w:history="1">
        <w:r>
          <w:rPr>
            <w:rFonts w:ascii="Avenir Light" w:hAnsi="Avenir Light" w:eastAsia="Avenir Light" w:cs="Avenir Light"/>
            <w:color w:val="188A42"/>
            <w:sz w:val="19"/>
            <w:szCs w:val="19"/>
          </w:rPr>
          <w:t xml:space="preserve">ek-2</w:t>
        </w:r>
      </w:hyperlink>
      <w:r>
        <w:rPr>
          <w:rFonts w:ascii="Avenir Light" w:hAnsi="Avenir Light" w:eastAsia="Avenir Light" w:cs="Avenir Light"/>
          <w:b w:val="0"/>
          <w:i w:val="0"/>
          <w:color w:val="172126"/>
          <w:sz w:val="19"/>
        </w:rPr>
        <w:t xml:space="preserve">'nin dördüncü bölümü uyarınca, emisyon faktörlerine ilişkin kademe 1 ve kademe 2 aşağıdaki gibi tanımlanır: Kademe 1: İşletme, emisyon faktörü olarak 0.525 t CO 2 /t toz uygular. Kademe 2: İşletme yılda en az bir defa emisyon faktörünü (EF) </w:t>
      </w:r>
      <w:hyperlink w:anchor="madde_30" w:history="1">
        <w:r>
          <w:rPr>
            <w:rFonts w:ascii="Avenir Light" w:hAnsi="Avenir Light" w:eastAsia="Avenir Light" w:cs="Avenir Light"/>
            <w:color w:val="188A42"/>
            <w:sz w:val="19"/>
            <w:szCs w:val="19"/>
          </w:rPr>
          <w:t xml:space="preserve">30 uncu madde</w:t>
        </w:r>
      </w:hyperlink>
      <w:r>
        <w:rPr>
          <w:rFonts w:ascii="Avenir Light" w:hAnsi="Avenir Light" w:eastAsia="Avenir Light" w:cs="Avenir Light"/>
          <w:b w:val="0"/>
          <w:i w:val="0"/>
          <w:color w:val="172126"/>
          <w:sz w:val="19"/>
        </w:rPr>
        <w:t xml:space="preserve">den </w:t>
      </w:r>
      <w:hyperlink w:anchor="madde_33" w:history="1">
        <w:r>
          <w:rPr>
            <w:rFonts w:ascii="Avenir Light" w:hAnsi="Avenir Light" w:eastAsia="Avenir Light" w:cs="Avenir Light"/>
            <w:color w:val="188A42"/>
            <w:sz w:val="19"/>
            <w:szCs w:val="19"/>
          </w:rPr>
          <w:t xml:space="preserve">33 üncü madde</w:t>
        </w:r>
      </w:hyperlink>
      <w:r>
        <w:rPr>
          <w:rFonts w:ascii="Avenir Light" w:hAnsi="Avenir Light" w:eastAsia="Avenir Light" w:cs="Avenir Light"/>
          <w:b w:val="0"/>
          <w:i w:val="0"/>
          <w:color w:val="172126"/>
          <w:sz w:val="19"/>
        </w:rPr>
        <w:t>ye kadar olan maddeler uyarınca ve aşağıdaki formülü kullanarak belirler: EF ÇFT = [ (EF Kli / (1+EF Kli ) ) x d ] / [ 1 – ((EF Kli / (1+EF Kli ) ) x d) ] Burada; EF ÇFT = Kısmen kalsine çimento döner fırın tozunun emisyon faktörü [t CO 2 /t ÇFT]; EF Kli = Klinkerin tesise özgü emisyon faktörü [t CO 2 /t klinker]; d= ÇFT kalsinasyon derecesi (ham karışımdaki toplam karbonat CO 2 ’nin % olarak CO 2 salımı). Emisyon faktörü için kademe 3 uygulanamaz.</w:t>
      </w:r>
    </w:p>
    <w:p>
      <w:pPr>
        <w:pStyle w:val="LegalList"/>
      </w:pPr>
      <w:r>
        <w:rPr>
          <w:rFonts w:ascii="Avenir Light" w:hAnsi="Avenir Light" w:eastAsia="Avenir Light" w:cs="Avenir Light"/>
          <w:b w:val="0"/>
          <w:i w:val="0"/>
          <w:color w:val="172126"/>
          <w:sz w:val="19"/>
        </w:rPr>
        <w:t xml:space="preserve">D) Farindeki Karbonat Olmayan Karbondan kaynaklanan Emisyonlar İşletme </w:t>
      </w:r>
      <w:hyperlink w:anchor="madde_22" w:history="1">
        <w:r>
          <w:rPr>
            <w:rFonts w:ascii="Avenir Light" w:hAnsi="Avenir Light" w:eastAsia="Avenir Light" w:cs="Avenir Light"/>
            <w:color w:val="188A42"/>
            <w:sz w:val="19"/>
            <w:szCs w:val="19"/>
          </w:rPr>
          <w:t xml:space="preserve">22 nci madde</w:t>
        </w:r>
      </w:hyperlink>
      <w:r>
        <w:rPr>
          <w:rFonts w:ascii="Avenir Light" w:hAnsi="Avenir Light" w:eastAsia="Avenir Light" w:cs="Avenir Light"/>
          <w:b w:val="0"/>
          <w:i w:val="0"/>
          <w:color w:val="172126"/>
          <w:sz w:val="19"/>
        </w:rPr>
        <w:t xml:space="preserve">nin ikinci fıkrası uyarınca karbonat olmayan karbonlardan asgari olarak kireç taşı, şist veya farinde kullanılan alternatif hammaddelerden (örneğin, uçucu kül) kaynaklanan emisyonları belirler. Emisyon faktörü için aşağıdaki kademe tanımları uygulanır: Kademe 1: İlgili hammadde içindeki karbonat olmayan karbonun içeriği ilgili ulusal ve uluslararası standartlar kullanılarak elde edilir. Kademe 2: İlgili hammadde içindeki karbonat olmayan karbonun içeriği </w:t>
      </w:r>
      <w:hyperlink w:anchor="madde_30" w:history="1">
        <w:r>
          <w:rPr>
            <w:rFonts w:ascii="Avenir Light" w:hAnsi="Avenir Light" w:eastAsia="Avenir Light" w:cs="Avenir Light"/>
            <w:color w:val="188A42"/>
            <w:sz w:val="19"/>
            <w:szCs w:val="19"/>
          </w:rPr>
          <w:t xml:space="preserve">30 uncu madde</w:t>
        </w:r>
      </w:hyperlink>
      <w:r>
        <w:rPr>
          <w:rFonts w:ascii="Avenir Light" w:hAnsi="Avenir Light" w:eastAsia="Avenir Light" w:cs="Avenir Light"/>
          <w:b w:val="0"/>
          <w:i w:val="0"/>
          <w:color w:val="172126"/>
          <w:sz w:val="19"/>
        </w:rPr>
        <w:t xml:space="preserve">den </w:t>
      </w:r>
      <w:hyperlink w:anchor="madde_33" w:history="1">
        <w:r>
          <w:rPr>
            <w:rFonts w:ascii="Avenir Light" w:hAnsi="Avenir Light" w:eastAsia="Avenir Light" w:cs="Avenir Light"/>
            <w:color w:val="188A42"/>
            <w:sz w:val="19"/>
            <w:szCs w:val="19"/>
          </w:rPr>
          <w:t xml:space="preserve">33 üncü madde</w:t>
        </w:r>
      </w:hyperlink>
      <w:r>
        <w:rPr>
          <w:rFonts w:ascii="Avenir Light" w:hAnsi="Avenir Light" w:eastAsia="Avenir Light" w:cs="Avenir Light"/>
          <w:b w:val="0"/>
          <w:i w:val="0"/>
          <w:color w:val="172126"/>
          <w:sz w:val="19"/>
        </w:rPr>
        <w:t>ye kadar olan maddelerin hükümleri uyarınca en az yıllık olarak belirlenir. Dönüşüm faktörü için aşağıdaki kademe tanımları uygulanır: Kademe 1: Dönüşüm faktörü olarak 1 uygulanır. Kademe 2: İlgili ulusal ve uluslararası standartlar kullanılarak dönüşüm faktörü hesaplanır.</w:t>
      </w:r>
    </w:p>
    <w:p>
      <w:pPr>
        <w:pStyle w:val="AnnexSubheading"/>
      </w:pPr>
      <w:r>
        <w:rPr>
          <w:rFonts w:ascii="Avenir Light" w:hAnsi="Avenir Light" w:eastAsia="Avenir Light" w:cs="Avenir Light"/>
          <w:b w:val="0"/>
          <w:i w:val="0"/>
          <w:color w:val="0D5F31"/>
          <w:sz w:val="21"/>
        </w:rPr>
        <w:t xml:space="preserve">10. Yönetmeliğin </w:t>
      </w:r>
      <w:hyperlink w:anchor="ek_1" w:history="1">
        <w:r>
          <w:rPr>
            <w:rFonts w:ascii="Avenir Light" w:hAnsi="Avenir Light" w:eastAsia="Avenir Light" w:cs="Avenir Light"/>
            <w:color w:val="188A42"/>
            <w:sz w:val="21"/>
            <w:szCs w:val="21"/>
          </w:rPr>
          <w:t xml:space="preserve">Ek-1</w:t>
        </w:r>
      </w:hyperlink>
      <w:r>
        <w:rPr>
          <w:rFonts w:ascii="Avenir Light" w:hAnsi="Avenir Light" w:eastAsia="Avenir Light" w:cs="Avenir Light"/>
          <w:b w:val="0"/>
          <w:i w:val="0"/>
          <w:color w:val="0D5F31"/>
          <w:sz w:val="21"/>
        </w:rPr>
        <w:t>’inde Listelenen Kireç Üretimi veya Dolomit veya Magnezit</w:t>
      </w:r>
    </w:p>
    <w:p>
      <w:pPr>
        <w:pStyle w:val="ArticleText"/>
      </w:pPr>
      <w:r>
        <w:rPr>
          <w:rFonts w:ascii="Avenir Light" w:hAnsi="Avenir Light" w:eastAsia="Avenir Light" w:cs="Avenir Light"/>
          <w:b w:val="0"/>
          <w:i w:val="0"/>
          <w:color w:val="172126"/>
          <w:sz w:val="19"/>
        </w:rPr>
        <w:t>Kalsinasyonu</w:t>
      </w:r>
    </w:p>
    <w:p>
      <w:pPr>
        <w:pStyle w:val="LegalList"/>
      </w:pPr>
      <w:r>
        <w:rPr>
          <w:rFonts w:ascii="Avenir Light" w:hAnsi="Avenir Light" w:eastAsia="Avenir Light" w:cs="Avenir Light"/>
          <w:b w:val="0"/>
          <w:i w:val="0"/>
          <w:color w:val="172126"/>
          <w:sz w:val="19"/>
        </w:rPr>
        <w:t>A) Kapsam İşletme, en az aşağıdaki potansiyel CO 2 emisyon kaynaklarını dahil eder: kireçtaşının kalsinasyonu, hammaddelerdeki dolomit veya magnezit, geleneksel fosil fırın yakıtları, alternatif fosil bazlı fırın yakıtları ve hammaddeler, biyokütle fırın yakıtları (biyokütle atıkları) ve diğer yakıtlar. Yaklaşık aynı miktarda CO 2 ’in tekrar bağlandığı arındırma prosesleri için sönmemiş kireç ve kireç taşından çıkan CO 2 kullanıldığında, arındırma işleminin yanı sıra karbonatların ayrıştırılmasının tesisin izleme planına ayrı ayrı dahil edilmesine gerek yoktur.</w:t>
      </w:r>
    </w:p>
    <w:p>
      <w:pPr>
        <w:pStyle w:val="LegalList"/>
      </w:pPr>
      <w:r>
        <w:rPr>
          <w:rFonts w:ascii="Avenir Light" w:hAnsi="Avenir Light" w:eastAsia="Avenir Light" w:cs="Avenir Light"/>
          <w:b w:val="0"/>
          <w:i w:val="0"/>
          <w:color w:val="172126"/>
          <w:sz w:val="19"/>
        </w:rPr>
        <w:t xml:space="preserve">B) Özel İzleme Kuralları Yanmadan kaynaklanan emisyonlar bu Ekin birinci bölümüne uygun olarak izlenir. Hammaddelerden kaynaklanan proses emisyonları </w:t>
      </w:r>
      <w:hyperlink w:anchor="ek_2" w:history="1">
        <w:r>
          <w:rPr>
            <w:rFonts w:ascii="Avenir Light" w:hAnsi="Avenir Light" w:eastAsia="Avenir Light" w:cs="Avenir Light"/>
            <w:color w:val="188A42"/>
            <w:sz w:val="19"/>
            <w:szCs w:val="19"/>
          </w:rPr>
          <w:t xml:space="preserve">ek-2</w:t>
        </w:r>
      </w:hyperlink>
      <w:r>
        <w:rPr>
          <w:rFonts w:ascii="Avenir Light" w:hAnsi="Avenir Light" w:eastAsia="Avenir Light" w:cs="Avenir Light"/>
          <w:b w:val="0"/>
          <w:i w:val="0"/>
          <w:color w:val="172126"/>
          <w:sz w:val="19"/>
        </w:rPr>
        <w:t xml:space="preserve">'nin dördüncü bölümüne uygun olarak izlenir. Kalsiyum ve magnezyumun karbonatları her zaman dikkate alınır. Diğer karbonatlar ve hammaddedeki organik karbon ilgili olduğu durumlarda dikkate alınır. Girdi temelli yöntemde, karbonat içerik değerleri malzemenin ilgili nem ve gang içeriği için ayarlanır. Magnezya üretiminde karbonattan ziyade diğer magnezyum taşıyan madenler dikkate alınır. Geri dönen veya baypas malzemeden kaynaklanan mükerrer sayım veya ihmaller önlenir. </w:t>
      </w:r>
      <w:hyperlink w:anchor="ek_2" w:history="1">
        <w:r>
          <w:rPr>
            <w:rFonts w:ascii="Avenir Light" w:hAnsi="Avenir Light" w:eastAsia="Avenir Light" w:cs="Avenir Light"/>
            <w:color w:val="188A42"/>
            <w:sz w:val="19"/>
            <w:szCs w:val="19"/>
          </w:rPr>
          <w:t xml:space="preserve">ek- 2</w:t>
        </w:r>
      </w:hyperlink>
      <w:r>
        <w:rPr>
          <w:rFonts w:ascii="Avenir Light" w:hAnsi="Avenir Light" w:eastAsia="Avenir Light" w:cs="Avenir Light"/>
          <w:b w:val="0"/>
          <w:i w:val="0"/>
          <w:color w:val="172126"/>
          <w:sz w:val="19"/>
        </w:rPr>
        <w:t>'nin 4üncü bölümünde yer alan Yöntem B uygulanırken, kireç ocağı tozu ayrı bir kaynak akışı olarak değerlendirilir. ÇKK (çökelmiş kalsiyum karbonat) üretimi için CO 2 tesiste kullanıldığında veya başka bir tesise transfer edildiğinde, kullanılan veya transfer edilen CO 2 miktarı CO 2 ’yi üreten tesisten kaynaklı emisyon olarak değerlendirilir.</w:t>
      </w:r>
    </w:p>
    <w:p>
      <w:pPr>
        <w:pStyle w:val="AnnexSubheading"/>
      </w:pPr>
      <w:r>
        <w:rPr>
          <w:rFonts w:ascii="Avenir Light" w:hAnsi="Avenir Light" w:eastAsia="Avenir Light" w:cs="Avenir Light"/>
          <w:b w:val="0"/>
          <w:i w:val="0"/>
          <w:color w:val="0D5F31"/>
          <w:sz w:val="21"/>
        </w:rPr>
        <w:t xml:space="preserve">11. Yönetmeliğin </w:t>
      </w:r>
      <w:hyperlink w:anchor="ek_1" w:history="1">
        <w:r>
          <w:rPr>
            <w:rFonts w:ascii="Avenir Light" w:hAnsi="Avenir Light" w:eastAsia="Avenir Light" w:cs="Avenir Light"/>
            <w:color w:val="188A42"/>
            <w:sz w:val="21"/>
            <w:szCs w:val="21"/>
          </w:rPr>
          <w:t xml:space="preserve">Ek-1</w:t>
        </w:r>
      </w:hyperlink>
      <w:r>
        <w:rPr>
          <w:rFonts w:ascii="Avenir Light" w:hAnsi="Avenir Light" w:eastAsia="Avenir Light" w:cs="Avenir Light"/>
          <w:b w:val="0"/>
          <w:i w:val="0"/>
          <w:color w:val="0D5F31"/>
          <w:sz w:val="21"/>
        </w:rPr>
        <w:t>’inde Listelenen Cam, Cam Elyaf veya Mineral Yün Yalıtım</w:t>
      </w:r>
    </w:p>
    <w:p>
      <w:pPr>
        <w:pStyle w:val="ArticleText"/>
      </w:pPr>
      <w:r>
        <w:rPr>
          <w:rFonts w:ascii="Avenir Light" w:hAnsi="Avenir Light" w:eastAsia="Avenir Light" w:cs="Avenir Light"/>
          <w:b w:val="0"/>
          <w:i w:val="0"/>
          <w:color w:val="172126"/>
          <w:sz w:val="19"/>
        </w:rPr>
        <w:t>Malzemesi Üretimi</w:t>
      </w:r>
    </w:p>
    <w:p>
      <w:pPr>
        <w:pStyle w:val="LegalList"/>
      </w:pPr>
      <w:r>
        <w:rPr>
          <w:rFonts w:ascii="Avenir Light" w:hAnsi="Avenir Light" w:eastAsia="Avenir Light" w:cs="Avenir Light"/>
          <w:b w:val="0"/>
          <w:i w:val="0"/>
          <w:color w:val="172126"/>
          <w:sz w:val="19"/>
        </w:rPr>
        <w:t>A) Kapsam İşletme bu bölümdeki hükümleri ayrıca su camı ve taş/kaya yünü üreten tesislere de uygular. İşletme en az aşağıdaki potansiyel CO 2 emisyon kaynaklarını dahil eder: hammaddenin erimesinin sonucu olarak alkali- ve toprak-alkali karbonatların ayrışması, geleneksel fosil yakıtlar, alternatif fosil bazlı yakıtlar ve hammaddeler, biyokütle yakıtlar (biyokütle atıklar), diğer yakıtlar, kok içeren katkı maddelerini içeren karbon, kömür tozu ve grafit, atık gaz yakma ve atık gaz yıkama.</w:t>
      </w:r>
    </w:p>
    <w:p>
      <w:pPr>
        <w:pStyle w:val="LegalList"/>
      </w:pPr>
      <w:r>
        <w:rPr>
          <w:rFonts w:ascii="Avenir Light" w:hAnsi="Avenir Light" w:eastAsia="Avenir Light" w:cs="Avenir Light"/>
          <w:b w:val="0"/>
          <w:i w:val="0"/>
          <w:color w:val="172126"/>
          <w:sz w:val="19"/>
        </w:rPr>
        <w:t xml:space="preserve">B) Özel İzleme Kuralları Atık gaz yıkama da dahil olmak üzere yanmadan kaynaklanan emisyonlar, bu Ekin birinci bölümü uyarınca izlenir. Hammaddelerden kaynaklanan proses emisyonları </w:t>
      </w:r>
      <w:hyperlink w:anchor="ek_2" w:history="1">
        <w:r>
          <w:rPr>
            <w:rFonts w:ascii="Avenir Light" w:hAnsi="Avenir Light" w:eastAsia="Avenir Light" w:cs="Avenir Light"/>
            <w:color w:val="188A42"/>
            <w:sz w:val="19"/>
            <w:szCs w:val="19"/>
          </w:rPr>
          <w:t xml:space="preserve">EK-2</w:t>
        </w:r>
      </w:hyperlink>
      <w:r>
        <w:rPr>
          <w:rFonts w:ascii="Avenir Light" w:hAnsi="Avenir Light" w:eastAsia="Avenir Light" w:cs="Avenir Light"/>
          <w:b w:val="0"/>
          <w:i w:val="0"/>
          <w:color w:val="172126"/>
          <w:sz w:val="19"/>
        </w:rPr>
        <w:t xml:space="preserve">.4’e uygun olarak izlenir. Dikkate alınacak karbonatlar en az CaCO 3 , MgCO 3 , Na 2 CO 3 , NaHCO 3 , BaCO 3 , Li 2 CO 3 , K 2 CO 3 , ve SrCO 3 karbonatlarını içerir. Sadece yöntem A kullanılır. Kok, grafit ve kömür tozu kaynaklı emisyonlar </w:t>
      </w:r>
      <w:hyperlink w:anchor="ek_2" w:history="1">
        <w:r>
          <w:rPr>
            <w:rFonts w:ascii="Avenir Light" w:hAnsi="Avenir Light" w:eastAsia="Avenir Light" w:cs="Avenir Light"/>
            <w:color w:val="188A42"/>
            <w:sz w:val="19"/>
            <w:szCs w:val="19"/>
          </w:rPr>
          <w:t xml:space="preserve">Ek-2</w:t>
        </w:r>
      </w:hyperlink>
      <w:r>
        <w:rPr>
          <w:rFonts w:ascii="Avenir Light" w:hAnsi="Avenir Light" w:eastAsia="Avenir Light" w:cs="Avenir Light"/>
          <w:b w:val="0"/>
          <w:i w:val="0"/>
          <w:color w:val="172126"/>
          <w:sz w:val="19"/>
        </w:rPr>
        <w:t xml:space="preserve"> nin beşinci bölümü uyarınca izlenir. Emisyon faktörü için aşağıdaki kademe tanımları uygulanır: Kademe 1: </w:t>
      </w:r>
      <w:hyperlink w:anchor="ek_5" w:history="1">
        <w:r>
          <w:rPr>
            <w:rFonts w:ascii="Avenir Light" w:hAnsi="Avenir Light" w:eastAsia="Avenir Light" w:cs="Avenir Light"/>
            <w:color w:val="188A42"/>
            <w:sz w:val="19"/>
            <w:szCs w:val="19"/>
          </w:rPr>
          <w:t xml:space="preserve">Ek-5</w:t>
        </w:r>
      </w:hyperlink>
      <w:r>
        <w:rPr>
          <w:rFonts w:ascii="Avenir Light" w:hAnsi="Avenir Light" w:eastAsia="Avenir Light" w:cs="Avenir Light"/>
          <w:b w:val="0"/>
          <w:i w:val="0"/>
          <w:color w:val="172126"/>
          <w:sz w:val="19"/>
        </w:rPr>
        <w:t xml:space="preserve">'in ikinci bölümünde listelenen stokiyometrik oranlar kullanılır. İlgili girdi malzemelerinin saflığı sanayideki en iyi uygulama vasıtası ile belirlenir. Kademe 2: Her bir girdi malzemesindeki ilgili karbonat miktarlarının belirlenmesi </w:t>
      </w:r>
      <w:hyperlink w:anchor="madde_30" w:history="1">
        <w:r>
          <w:rPr>
            <w:rFonts w:ascii="Avenir Light" w:hAnsi="Avenir Light" w:eastAsia="Avenir Light" w:cs="Avenir Light"/>
            <w:color w:val="188A42"/>
            <w:sz w:val="19"/>
            <w:szCs w:val="19"/>
          </w:rPr>
          <w:t xml:space="preserve">30 uncu madde</w:t>
        </w:r>
      </w:hyperlink>
      <w:r>
        <w:rPr>
          <w:rFonts w:ascii="Avenir Light" w:hAnsi="Avenir Light" w:eastAsia="Avenir Light" w:cs="Avenir Light"/>
          <w:b w:val="0"/>
          <w:i w:val="0"/>
          <w:color w:val="172126"/>
          <w:sz w:val="19"/>
        </w:rPr>
        <w:t>den 33 üncü kadar olan maddeler uyarınca yapılır. Dönüşüm faktörü için, sadece kademe 1 uygulanır.</w:t>
      </w:r>
    </w:p>
    <w:p>
      <w:pPr>
        <w:pStyle w:val="AnnexSubheading"/>
      </w:pPr>
      <w:r>
        <w:rPr>
          <w:rFonts w:ascii="Avenir Light" w:hAnsi="Avenir Light" w:eastAsia="Avenir Light" w:cs="Avenir Light"/>
          <w:b w:val="0"/>
          <w:i w:val="0"/>
          <w:color w:val="0D5F31"/>
          <w:sz w:val="21"/>
        </w:rPr>
        <w:t xml:space="preserve">12. Yönetmeliğin </w:t>
      </w:r>
      <w:hyperlink w:anchor="ek_1" w:history="1">
        <w:r>
          <w:rPr>
            <w:rFonts w:ascii="Avenir Light" w:hAnsi="Avenir Light" w:eastAsia="Avenir Light" w:cs="Avenir Light"/>
            <w:color w:val="188A42"/>
            <w:sz w:val="21"/>
            <w:szCs w:val="21"/>
          </w:rPr>
          <w:t xml:space="preserve">Ek-1</w:t>
        </w:r>
      </w:hyperlink>
      <w:r>
        <w:rPr>
          <w:rFonts w:ascii="Avenir Light" w:hAnsi="Avenir Light" w:eastAsia="Avenir Light" w:cs="Avenir Light"/>
          <w:b w:val="0"/>
          <w:i w:val="0"/>
          <w:color w:val="0D5F31"/>
          <w:sz w:val="21"/>
        </w:rPr>
        <w:t>’inde Listelenen Seramik Ürünlerinin Üretimi</w:t>
      </w:r>
    </w:p>
    <w:p>
      <w:pPr>
        <w:pStyle w:val="LegalList"/>
      </w:pPr>
      <w:r>
        <w:rPr>
          <w:rFonts w:ascii="Avenir Light" w:hAnsi="Avenir Light" w:eastAsia="Avenir Light" w:cs="Avenir Light"/>
          <w:b w:val="0"/>
          <w:i w:val="0"/>
          <w:color w:val="172126"/>
          <w:sz w:val="19"/>
        </w:rPr>
        <w:t>A) Kapsam İşletme, en az aşağıdaki potansiyel CO 2 emisyon kaynaklarını dahil eder: i. Fırın yakıtları, ii. Kireç taşının/dolomitin kalsinasyonu ve hammaddelerdeki diğer karbonatlar, iii. Hava kirleticilerini azaltmak ve diğer baca gazı yıkama ile ilgili kireç taşı ve diğer karbonatlar, iv. Polisitren içeren gözenek artırıcı olarak kullanılan toprak/biyokütle katkı maddeleri, v. Kâğıt üretimi veya talaş kalıntıları, vi. Kildeki ve diğer hammaddelerdeki fosil organik malzemeler.</w:t>
      </w:r>
    </w:p>
    <w:p>
      <w:pPr>
        <w:pStyle w:val="LegalList"/>
      </w:pPr>
      <w:r>
        <w:rPr>
          <w:rFonts w:ascii="Avenir Light" w:hAnsi="Avenir Light" w:eastAsia="Avenir Light" w:cs="Avenir Light"/>
          <w:b w:val="0"/>
          <w:i w:val="0"/>
          <w:color w:val="172126"/>
          <w:sz w:val="19"/>
        </w:rPr>
        <w:t xml:space="preserve">B) Özel İzleme Kuralları Baca gazı yıkamayı içeren yanmadan kaynaklanan emisyonlar, bu Ekin birinci bölümüne uygun olarak izlenir. Farin bileşenlerinden kaynaklanan proses emisyonları </w:t>
      </w:r>
      <w:hyperlink w:anchor="ek_2" w:history="1">
        <w:r>
          <w:rPr>
            <w:rFonts w:ascii="Avenir Light" w:hAnsi="Avenir Light" w:eastAsia="Avenir Light" w:cs="Avenir Light"/>
            <w:color w:val="188A42"/>
            <w:sz w:val="19"/>
            <w:szCs w:val="19"/>
          </w:rPr>
          <w:t xml:space="preserve">ek-2</w:t>
        </w:r>
      </w:hyperlink>
      <w:r>
        <w:rPr>
          <w:rFonts w:ascii="Avenir Light" w:hAnsi="Avenir Light" w:eastAsia="Avenir Light" w:cs="Avenir Light"/>
          <w:b w:val="0"/>
          <w:i w:val="0"/>
          <w:color w:val="172126"/>
          <w:sz w:val="19"/>
        </w:rPr>
        <w:t xml:space="preserve">'nin dördüncü ve beşinci bölümlerine bölümüne uygun olarak izlenir. İşletme, saflaştırılmış veya sentetik kile dayanan seramikler için yöntem A’yı veya yöntem B’yi kullanır. İşletme, işlenmemiş kile dayanan seramik ürünler ve organik içerikli kil ve katkı maddeleri kullanırsa yöntem A’yı kullanır. Kalsiyum karbonatlar her zaman dikkate alınır. Diğer karbonatlar ve hammaddedeki organik karbon ilgili olduğu durumlarda dikkate alınır. Yöntem A için girdi malzemelerinin faaliyet verileri Bakanlığın onayı ile sanayi en iyi uygulamalarına dayanan uygun bir geri hesaplama ile tespit edilebilir. Bu hesaplama, mevcut ölçü aletlerinine dikkate alınarak kurutulmuş ara ürünler veya pişirilmiş ürenlerden, ve kilin nemi ve katkı maddeleri ile diğer ilgili malzemelerin kızdırma kaybına dair veri kaynakları dikkate alınarak yapılır. </w:t>
      </w:r>
      <w:hyperlink w:anchor="ek_2" w:history="1">
        <w:r>
          <w:rPr>
            <w:rFonts w:ascii="Avenir Light" w:hAnsi="Avenir Light" w:eastAsia="Avenir Light" w:cs="Avenir Light"/>
            <w:color w:val="188A42"/>
            <w:sz w:val="19"/>
            <w:szCs w:val="19"/>
          </w:rPr>
          <w:t xml:space="preserve">Ek-2</w:t>
        </w:r>
      </w:hyperlink>
      <w:r>
        <w:rPr>
          <w:rFonts w:ascii="Avenir Light" w:hAnsi="Avenir Light" w:eastAsia="Avenir Light" w:cs="Avenir Light"/>
          <w:b w:val="0"/>
          <w:i w:val="0"/>
          <w:color w:val="172126"/>
          <w:sz w:val="19"/>
        </w:rPr>
        <w:t xml:space="preserve">'nin dördüncü bölümü uyarınca, proses emisyonlarının emisyon faktörleri için aşağıdaki kademe tanımları uygulanır: Yöntem A (Girdi Temelli): Kademe 1: Emisyon faktörünün hesaplanması için analiz sonuçları yerine ton kuru kil başına 0,2 ton CaCO 3 ihtiyatlı değeri (0,08794 ton of CO 2 ’e karşılık gelen) uygulanır. Kilde yer alan tüm organik ve inorganik karbonun bu değer içerisinde yer aldığı varsayılır. Katkı maddelerinin bu değerin içerisinde yer almadığı var sayılır. Kademe 2: Her bir kaynak akışına ilişkin emisyon faktörü, sahaya özgü koşulları ve tesisin ürün karışımını yansıtan ulusal ve uluslararası uygulamaları da kullanarak, yılda en az bir defa hesaplanır ve güncellenir. Kademe 3: İlgili hammaddelerin kompozisyonu </w:t>
      </w:r>
      <w:hyperlink w:anchor="madde_30" w:history="1">
        <w:r>
          <w:rPr>
            <w:rFonts w:ascii="Avenir Light" w:hAnsi="Avenir Light" w:eastAsia="Avenir Light" w:cs="Avenir Light"/>
            <w:color w:val="188A42"/>
            <w:sz w:val="19"/>
            <w:szCs w:val="19"/>
          </w:rPr>
          <w:t xml:space="preserve">30 uncu madde</w:t>
        </w:r>
      </w:hyperlink>
      <w:r>
        <w:rPr>
          <w:rFonts w:ascii="Avenir Light" w:hAnsi="Avenir Light" w:eastAsia="Avenir Light" w:cs="Avenir Light"/>
          <w:b w:val="0"/>
          <w:i w:val="0"/>
          <w:color w:val="172126"/>
          <w:sz w:val="19"/>
        </w:rPr>
        <w:t xml:space="preserve">den </w:t>
      </w:r>
      <w:hyperlink w:anchor="madde_33" w:history="1">
        <w:r>
          <w:rPr>
            <w:rFonts w:ascii="Avenir Light" w:hAnsi="Avenir Light" w:eastAsia="Avenir Light" w:cs="Avenir Light"/>
            <w:color w:val="188A42"/>
            <w:sz w:val="19"/>
            <w:szCs w:val="19"/>
          </w:rPr>
          <w:t xml:space="preserve">33 üncü madde</w:t>
        </w:r>
      </w:hyperlink>
      <w:r>
        <w:rPr>
          <w:rFonts w:ascii="Avenir Light" w:hAnsi="Avenir Light" w:eastAsia="Avenir Light" w:cs="Avenir Light"/>
          <w:b w:val="0"/>
          <w:i w:val="0"/>
          <w:color w:val="172126"/>
          <w:sz w:val="19"/>
        </w:rPr>
        <w:t xml:space="preserve">ye kadar olan maddeler uyarınca belirlenir. Uygun olduğu durumlarda, </w:t>
      </w:r>
      <w:hyperlink w:anchor="ek_2" w:history="1">
        <w:r>
          <w:rPr>
            <w:rFonts w:ascii="Avenir Light" w:hAnsi="Avenir Light" w:eastAsia="Avenir Light" w:cs="Avenir Light"/>
            <w:color w:val="188A42"/>
            <w:sz w:val="19"/>
            <w:szCs w:val="19"/>
          </w:rPr>
          <w:t xml:space="preserve">Ek-2</w:t>
        </w:r>
      </w:hyperlink>
      <w:r>
        <w:rPr>
          <w:rFonts w:ascii="Avenir Light" w:hAnsi="Avenir Light" w:eastAsia="Avenir Light" w:cs="Avenir Light"/>
          <w:b w:val="0"/>
          <w:i w:val="0"/>
          <w:color w:val="172126"/>
          <w:sz w:val="19"/>
        </w:rPr>
        <w:t xml:space="preserve"> nin dördüncü bölümünde yer alan stokiyometrik oranlar kompozisyon verisinin emisyonlara dönüştürülmesi için kullanılır. Yöntem B (Çıktı temelli): Kademe 1: : Emisyon faktörünün hesaplanması için analiz sonuçları yerine ton ürün başına 0,123 ton CaO ihtiyatlı değeri (0,09642 ton CO 2 ’e karşılık gelen) kullanılır. Kilde yer alan tüm organik ve inorganik karbonun bu değer içerisinde yer aldığı varsayılır. Katkı maddelerinin bu değerin içerisinde yer almadığı var sayılır. Kademe 2: Emisyon faktörü, sahaya özgü koşullar ve tesisin ürün karışımını yansıtan ulusal ve uluslararası uygulamaları da kullanarak, yılda en az bir defa hesaplanır ve güncellenir. Kademe 3: Ürün kompozisyonun belirlenmesi </w:t>
      </w:r>
      <w:hyperlink w:anchor="madde_30" w:history="1">
        <w:r>
          <w:rPr>
            <w:rFonts w:ascii="Avenir Light" w:hAnsi="Avenir Light" w:eastAsia="Avenir Light" w:cs="Avenir Light"/>
            <w:color w:val="188A42"/>
            <w:sz w:val="19"/>
            <w:szCs w:val="19"/>
          </w:rPr>
          <w:t xml:space="preserve">30 uncu madde</w:t>
        </w:r>
      </w:hyperlink>
      <w:r>
        <w:rPr>
          <w:rFonts w:ascii="Avenir Light" w:hAnsi="Avenir Light" w:eastAsia="Avenir Light" w:cs="Avenir Light"/>
          <w:b w:val="0"/>
          <w:i w:val="0"/>
          <w:color w:val="172126"/>
          <w:sz w:val="19"/>
        </w:rPr>
        <w:t xml:space="preserve">den </w:t>
      </w:r>
      <w:hyperlink w:anchor="madde_33" w:history="1">
        <w:r>
          <w:rPr>
            <w:rFonts w:ascii="Avenir Light" w:hAnsi="Avenir Light" w:eastAsia="Avenir Light" w:cs="Avenir Light"/>
            <w:color w:val="188A42"/>
            <w:sz w:val="19"/>
            <w:szCs w:val="19"/>
          </w:rPr>
          <w:t xml:space="preserve">33 üncü madde</w:t>
        </w:r>
      </w:hyperlink>
      <w:r>
        <w:rPr>
          <w:rFonts w:ascii="Avenir Light" w:hAnsi="Avenir Light" w:eastAsia="Avenir Light" w:cs="Avenir Light"/>
          <w:b w:val="0"/>
          <w:i w:val="0"/>
          <w:color w:val="172126"/>
          <w:sz w:val="19"/>
        </w:rPr>
        <w:t xml:space="preserve">ye kadar olan maddeler uyarınca belirlenir. Uygun olduğu durumlarda, </w:t>
      </w:r>
      <w:hyperlink w:anchor="ek_2" w:history="1">
        <w:r>
          <w:rPr>
            <w:rFonts w:ascii="Avenir Light" w:hAnsi="Avenir Light" w:eastAsia="Avenir Light" w:cs="Avenir Light"/>
            <w:color w:val="188A42"/>
            <w:sz w:val="19"/>
            <w:szCs w:val="19"/>
          </w:rPr>
          <w:t xml:space="preserve">Ek-2</w:t>
        </w:r>
      </w:hyperlink>
      <w:r>
        <w:rPr>
          <w:rFonts w:ascii="Avenir Light" w:hAnsi="Avenir Light" w:eastAsia="Avenir Light" w:cs="Avenir Light"/>
          <w:b w:val="0"/>
          <w:i w:val="0"/>
          <w:color w:val="172126"/>
          <w:sz w:val="19"/>
        </w:rPr>
        <w:t xml:space="preserve"> nin dördüncü bölümü Tablo 3’de yer alan stokiyometrik oranlar tüm metal oksitlerin ilgili karbonatlardan dönüştüğü varsayılarak kompozisyon verisinin emisyonlara dönüştürülmesi için kullanılır. Bu Ekin birinci bölümü uyarınca baca gazlarının temizlenmesine yönelik emisyon faktörü için aşağıdaki kademe uygulanır: Kademe 1: İşletme, </w:t>
      </w:r>
      <w:hyperlink w:anchor="ek_5" w:history="1">
        <w:r>
          <w:rPr>
            <w:rFonts w:ascii="Avenir Light" w:hAnsi="Avenir Light" w:eastAsia="Avenir Light" w:cs="Avenir Light"/>
            <w:color w:val="188A42"/>
            <w:sz w:val="19"/>
            <w:szCs w:val="19"/>
          </w:rPr>
          <w:t xml:space="preserve">ek-5</w:t>
        </w:r>
      </w:hyperlink>
      <w:r>
        <w:rPr>
          <w:rFonts w:ascii="Avenir Light" w:hAnsi="Avenir Light" w:eastAsia="Avenir Light" w:cs="Avenir Light"/>
          <w:b w:val="0"/>
          <w:i w:val="0"/>
          <w:color w:val="172126"/>
          <w:sz w:val="19"/>
        </w:rPr>
        <w:t>'in ikinci bölümünde belirtildiği üzere CaCO 3 stokiyometrik oranını uygular. Temizleme için diğer kademe ve dönüşüm faktörleri kullanılmaz. Aynı tesiste hammadde olarak geri kazanılmış kireçtaşının kullanılmasından kaynaklanan mükerrer sayım önlenir.</w:t>
      </w:r>
    </w:p>
    <w:p>
      <w:pPr>
        <w:pStyle w:val="AnnexSubheading"/>
      </w:pPr>
      <w:r>
        <w:rPr>
          <w:rFonts w:ascii="Avenir Light" w:hAnsi="Avenir Light" w:eastAsia="Avenir Light" w:cs="Avenir Light"/>
          <w:b w:val="0"/>
          <w:i w:val="0"/>
          <w:color w:val="0D5F31"/>
          <w:sz w:val="21"/>
        </w:rPr>
        <w:t xml:space="preserve">13. Yönetmeliğin </w:t>
      </w:r>
      <w:hyperlink w:anchor="ek_1" w:history="1">
        <w:r>
          <w:rPr>
            <w:rFonts w:ascii="Avenir Light" w:hAnsi="Avenir Light" w:eastAsia="Avenir Light" w:cs="Avenir Light"/>
            <w:color w:val="188A42"/>
            <w:sz w:val="21"/>
            <w:szCs w:val="21"/>
          </w:rPr>
          <w:t xml:space="preserve">Ek-1</w:t>
        </w:r>
      </w:hyperlink>
      <w:r>
        <w:rPr>
          <w:rFonts w:ascii="Avenir Light" w:hAnsi="Avenir Light" w:eastAsia="Avenir Light" w:cs="Avenir Light"/>
          <w:b w:val="0"/>
          <w:i w:val="0"/>
          <w:color w:val="0D5F31"/>
          <w:sz w:val="21"/>
        </w:rPr>
        <w:t>’inde Listelenen Alçı Taşı Ürünleri ve Alçı Levhaları Üretimi</w:t>
      </w:r>
    </w:p>
    <w:p>
      <w:pPr>
        <w:pStyle w:val="LegalList"/>
      </w:pPr>
      <w:r>
        <w:rPr>
          <w:rFonts w:ascii="Avenir Light" w:hAnsi="Avenir Light" w:eastAsia="Avenir Light" w:cs="Avenir Light"/>
          <w:b w:val="0"/>
          <w:i w:val="0"/>
          <w:color w:val="172126"/>
          <w:sz w:val="19"/>
        </w:rPr>
        <w:t>A) Kapsam İşletme, en az her tür yanma faaliyetinden kaynaklanan CO 2 emisyonlarını dahil eder.</w:t>
      </w:r>
    </w:p>
    <w:p>
      <w:pPr>
        <w:pStyle w:val="LegalList"/>
      </w:pPr>
      <w:r>
        <w:rPr>
          <w:rFonts w:ascii="Avenir Light" w:hAnsi="Avenir Light" w:eastAsia="Avenir Light" w:cs="Avenir Light"/>
          <w:b w:val="0"/>
          <w:i w:val="0"/>
          <w:color w:val="172126"/>
          <w:sz w:val="19"/>
        </w:rPr>
        <w:t>B) Özel İzleme Kuralları Yanmadan kaynaklanan emisyonlar bu Ekin birinci bölümüne uygun olarak izlenir.</w:t>
      </w:r>
    </w:p>
    <w:p>
      <w:pPr>
        <w:pStyle w:val="AnnexSubheading"/>
      </w:pPr>
      <w:r>
        <w:rPr>
          <w:rFonts w:ascii="Avenir Light" w:hAnsi="Avenir Light" w:eastAsia="Avenir Light" w:cs="Avenir Light"/>
          <w:b w:val="0"/>
          <w:i w:val="0"/>
          <w:color w:val="0D5F31"/>
          <w:sz w:val="21"/>
        </w:rPr>
        <w:t xml:space="preserve">14. Yönetmeliğin </w:t>
      </w:r>
      <w:hyperlink w:anchor="ek_1" w:history="1">
        <w:r>
          <w:rPr>
            <w:rFonts w:ascii="Avenir Light" w:hAnsi="Avenir Light" w:eastAsia="Avenir Light" w:cs="Avenir Light"/>
            <w:color w:val="188A42"/>
            <w:sz w:val="21"/>
            <w:szCs w:val="21"/>
          </w:rPr>
          <w:t xml:space="preserve">Ek-1</w:t>
        </w:r>
      </w:hyperlink>
      <w:r>
        <w:rPr>
          <w:rFonts w:ascii="Avenir Light" w:hAnsi="Avenir Light" w:eastAsia="Avenir Light" w:cs="Avenir Light"/>
          <w:b w:val="0"/>
          <w:i w:val="0"/>
          <w:color w:val="0D5F31"/>
          <w:sz w:val="21"/>
        </w:rPr>
        <w:t>’inde Listelenen Selüloz ve Kağıt Üretimi</w:t>
      </w:r>
    </w:p>
    <w:p>
      <w:pPr>
        <w:pStyle w:val="LegalList"/>
      </w:pPr>
      <w:r>
        <w:rPr>
          <w:rFonts w:ascii="Avenir Light" w:hAnsi="Avenir Light" w:eastAsia="Avenir Light" w:cs="Avenir Light"/>
          <w:b w:val="0"/>
          <w:i w:val="0"/>
          <w:color w:val="172126"/>
          <w:sz w:val="19"/>
        </w:rPr>
        <w:t>A) Kapsam İşletme en az aşağıdaki potansiyel CO 2 emisyon kaynaklarını dahil eder: kazanlar, gaz türbinleri ve buhar veya enerji üreten yanma ile ilgili diğer cihazlar, tüketilmiş kağıt hamuru likörlerini yakan geri kazanım kazanları ve diğer cihazlar, insinaretörler, kireç fırınları ve kalsinatörleri, atık gaz yıkama ve kurutucular (kızılötesi kurutucular dahil).</w:t>
      </w:r>
    </w:p>
    <w:p>
      <w:pPr>
        <w:pStyle w:val="LegalList"/>
      </w:pPr>
      <w:r>
        <w:rPr>
          <w:rFonts w:ascii="Avenir Light" w:hAnsi="Avenir Light" w:eastAsia="Avenir Light" w:cs="Avenir Light"/>
          <w:b w:val="0"/>
          <w:i w:val="0"/>
          <w:color w:val="172126"/>
          <w:sz w:val="19"/>
        </w:rPr>
        <w:t xml:space="preserve">B) Özel İzleme Kuralları Atık gaz yıkamasını içeren yanmadan kaynaklanan emisyonların izlenmesi bu Ekin birinci bölümüne uygun olarak yürütülür. Asgari olarak kireç taşını veya soda külünü içeren takviye kimyasalları olarak kullanılan hammaddelerden kaynaklanan proses emisyonları, </w:t>
      </w:r>
      <w:hyperlink w:anchor="ek_2" w:history="1">
        <w:r>
          <w:rPr>
            <w:rFonts w:ascii="Avenir Light" w:hAnsi="Avenir Light" w:eastAsia="Avenir Light" w:cs="Avenir Light"/>
            <w:color w:val="188A42"/>
            <w:sz w:val="19"/>
            <w:szCs w:val="19"/>
          </w:rPr>
          <w:t xml:space="preserve">ek-2</w:t>
        </w:r>
      </w:hyperlink>
      <w:r>
        <w:rPr>
          <w:rFonts w:ascii="Avenir Light" w:hAnsi="Avenir Light" w:eastAsia="Avenir Light" w:cs="Avenir Light"/>
          <w:b w:val="0"/>
          <w:i w:val="0"/>
          <w:color w:val="172126"/>
          <w:sz w:val="19"/>
        </w:rPr>
        <w:t xml:space="preserve">'nin dördüncü bölümüne uygun olarak yöntem A ile izlenir. Selüloz üretimindeki kireç taşı çamur geri kazanımından kaynaklanan CO 2 emisyonları geri dönüşümlü biyokütle CO 2 olarak varsayılır. Sadece takviye kimyasalların girdisi ile orantılı CO 2 miktarının fosil CO 2 emisyonlarına sebep olduğu varsayılır. Çökelmiş kalsiyum karbonat (ÇKK) üretimi için tesiste CO 2 kullanıldığında veya başka bir tesise CO 2 transfer edildiğinde, CO 2 miktarı CO 2 üreten tesis kaynaklı emisyon olarak değerlendirilir. Takviye kimyasallarından kaynaklanan emisyonlarda emisyon faktörü için aşağıdaki kademe tanımları uygulanır: Kademe 1: </w:t>
      </w:r>
      <w:hyperlink w:anchor="ek_5" w:history="1">
        <w:r>
          <w:rPr>
            <w:rFonts w:ascii="Avenir Light" w:hAnsi="Avenir Light" w:eastAsia="Avenir Light" w:cs="Avenir Light"/>
            <w:color w:val="188A42"/>
            <w:sz w:val="19"/>
            <w:szCs w:val="19"/>
          </w:rPr>
          <w:t xml:space="preserve">Ek-5</w:t>
        </w:r>
      </w:hyperlink>
      <w:r>
        <w:rPr>
          <w:rFonts w:ascii="Avenir Light" w:hAnsi="Avenir Light" w:eastAsia="Avenir Light" w:cs="Avenir Light"/>
          <w:b w:val="0"/>
          <w:i w:val="0"/>
          <w:color w:val="172126"/>
          <w:sz w:val="19"/>
        </w:rPr>
        <w:t xml:space="preserve">'in ikinci bölümünde listelenen stokiyometrik oranlar kullanılır. İlgili girdi malzemelerinin saflığı ilgili ulusal ve uluslararası standartlar vasıtası ile belirlenir. Elde edilen değerler uygulanan karbonat malzemenin nemine ve değersiz içeriğine uygun olarak ayarlanır. Kademe 2: Her bir ilgili girdi malzemesine ilişkin ilgili karbonat miktarlarının belirlenmesi </w:t>
      </w:r>
      <w:hyperlink w:anchor="madde_30" w:history="1">
        <w:r>
          <w:rPr>
            <w:rFonts w:ascii="Avenir Light" w:hAnsi="Avenir Light" w:eastAsia="Avenir Light" w:cs="Avenir Light"/>
            <w:color w:val="188A42"/>
            <w:sz w:val="19"/>
            <w:szCs w:val="19"/>
          </w:rPr>
          <w:t xml:space="preserve">30 uncu madde</w:t>
        </w:r>
      </w:hyperlink>
      <w:r>
        <w:rPr>
          <w:rFonts w:ascii="Avenir Light" w:hAnsi="Avenir Light" w:eastAsia="Avenir Light" w:cs="Avenir Light"/>
          <w:b w:val="0"/>
          <w:i w:val="0"/>
          <w:color w:val="172126"/>
          <w:sz w:val="19"/>
        </w:rPr>
        <w:t xml:space="preserve">den </w:t>
      </w:r>
      <w:hyperlink w:anchor="madde_33" w:history="1">
        <w:r>
          <w:rPr>
            <w:rFonts w:ascii="Avenir Light" w:hAnsi="Avenir Light" w:eastAsia="Avenir Light" w:cs="Avenir Light"/>
            <w:color w:val="188A42"/>
            <w:sz w:val="19"/>
            <w:szCs w:val="19"/>
          </w:rPr>
          <w:t xml:space="preserve">33 üncü madde</w:t>
        </w:r>
      </w:hyperlink>
      <w:r>
        <w:rPr>
          <w:rFonts w:ascii="Avenir Light" w:hAnsi="Avenir Light" w:eastAsia="Avenir Light" w:cs="Avenir Light"/>
          <w:b w:val="0"/>
          <w:i w:val="0"/>
          <w:color w:val="172126"/>
          <w:sz w:val="19"/>
        </w:rPr>
        <w:t xml:space="preserve">ye kadar olan maddeler uyarınca yürütülür. Uygun olduğu durumlarda, </w:t>
      </w:r>
      <w:hyperlink w:anchor="ek_2" w:history="1">
        <w:r>
          <w:rPr>
            <w:rFonts w:ascii="Avenir Light" w:hAnsi="Avenir Light" w:eastAsia="Avenir Light" w:cs="Avenir Light"/>
            <w:color w:val="188A42"/>
            <w:sz w:val="19"/>
            <w:szCs w:val="19"/>
          </w:rPr>
          <w:t xml:space="preserve">Ek-2</w:t>
        </w:r>
      </w:hyperlink>
      <w:r>
        <w:rPr>
          <w:rFonts w:ascii="Avenir Light" w:hAnsi="Avenir Light" w:eastAsia="Avenir Light" w:cs="Avenir Light"/>
          <w:b w:val="0"/>
          <w:i w:val="0"/>
          <w:color w:val="172126"/>
          <w:sz w:val="19"/>
        </w:rPr>
        <w:t xml:space="preserve"> nin dördüncü bölümünde yer alan stokiyometrik oranlar kompozisyon verisinin emisyonlara dönüştürülmesi için kullanılır. Dönüşüm faktörü için, sadece kademe 1 uygulanır.</w:t>
      </w:r>
    </w:p>
    <w:p>
      <w:pPr>
        <w:pStyle w:val="AnnexSubheading"/>
      </w:pPr>
      <w:r>
        <w:rPr>
          <w:rFonts w:ascii="Avenir Light" w:hAnsi="Avenir Light" w:eastAsia="Avenir Light" w:cs="Avenir Light"/>
          <w:b w:val="0"/>
          <w:i w:val="0"/>
          <w:color w:val="0D5F31"/>
          <w:sz w:val="21"/>
        </w:rPr>
        <w:t xml:space="preserve">15. Yönetmeliğin </w:t>
      </w:r>
      <w:hyperlink w:anchor="ek_1" w:history="1">
        <w:r>
          <w:rPr>
            <w:rFonts w:ascii="Avenir Light" w:hAnsi="Avenir Light" w:eastAsia="Avenir Light" w:cs="Avenir Light"/>
            <w:color w:val="188A42"/>
            <w:sz w:val="21"/>
            <w:szCs w:val="21"/>
          </w:rPr>
          <w:t xml:space="preserve">Ek-1</w:t>
        </w:r>
      </w:hyperlink>
      <w:r>
        <w:rPr>
          <w:rFonts w:ascii="Avenir Light" w:hAnsi="Avenir Light" w:eastAsia="Avenir Light" w:cs="Avenir Light"/>
          <w:b w:val="0"/>
          <w:i w:val="0"/>
          <w:color w:val="0D5F31"/>
          <w:sz w:val="21"/>
        </w:rPr>
        <w:t>’inde Listelenen Karbon Siyahı Üretimi</w:t>
      </w:r>
    </w:p>
    <w:p>
      <w:pPr>
        <w:pStyle w:val="LegalList"/>
      </w:pPr>
      <w:r>
        <w:rPr>
          <w:rFonts w:ascii="Avenir Light" w:hAnsi="Avenir Light" w:eastAsia="Avenir Light" w:cs="Avenir Light"/>
          <w:b w:val="0"/>
          <w:i w:val="0"/>
          <w:color w:val="172126"/>
          <w:sz w:val="19"/>
        </w:rPr>
        <w:t>A) Kapsam İşletme, asgari düzeyde yanma ile ilgili tüm yakıtları ve CO 2 emisyon kaynağı olan ve proses malzemesi olarak kullanılan tüm yakıtları dahil eder.</w:t>
      </w:r>
    </w:p>
    <w:p>
      <w:pPr>
        <w:pStyle w:val="LegalList"/>
      </w:pPr>
      <w:r>
        <w:rPr>
          <w:rFonts w:ascii="Avenir Light" w:hAnsi="Avenir Light" w:eastAsia="Avenir Light" w:cs="Avenir Light"/>
          <w:b w:val="0"/>
          <w:i w:val="0"/>
          <w:color w:val="172126"/>
          <w:sz w:val="19"/>
        </w:rPr>
        <w:t xml:space="preserve">B) Özel İzleme Kuralları Karbon siyahı üretiminden kaynaklanan emisyonların izlenmesi, bu Ekin birinci bölümüne uygun olarak, atık gaz yıkamasını da içeren bir yanma prosesi olarak ya da </w:t>
      </w:r>
      <w:hyperlink w:anchor="madde_23" w:history="1">
        <w:r>
          <w:rPr>
            <w:rFonts w:ascii="Avenir Light" w:hAnsi="Avenir Light" w:eastAsia="Avenir Light" w:cs="Avenir Light"/>
            <w:color w:val="188A42"/>
            <w:sz w:val="19"/>
            <w:szCs w:val="19"/>
          </w:rPr>
          <w:t xml:space="preserve">23 üncü madde</w:t>
        </w:r>
      </w:hyperlink>
      <w:r>
        <w:rPr>
          <w:rFonts w:ascii="Avenir Light" w:hAnsi="Avenir Light" w:eastAsia="Avenir Light" w:cs="Avenir Light"/>
          <w:b w:val="0"/>
          <w:i w:val="0"/>
          <w:color w:val="172126"/>
          <w:sz w:val="19"/>
        </w:rPr>
        <w:t xml:space="preserve"> ve </w:t>
      </w:r>
      <w:hyperlink w:anchor="ek_2" w:history="1">
        <w:r>
          <w:rPr>
            <w:rFonts w:ascii="Avenir Light" w:hAnsi="Avenir Light" w:eastAsia="Avenir Light" w:cs="Avenir Light"/>
            <w:color w:val="188A42"/>
            <w:sz w:val="19"/>
            <w:szCs w:val="19"/>
          </w:rPr>
          <w:t xml:space="preserve">ek-2</w:t>
        </w:r>
      </w:hyperlink>
      <w:r>
        <w:rPr>
          <w:rFonts w:ascii="Avenir Light" w:hAnsi="Avenir Light" w:eastAsia="Avenir Light" w:cs="Avenir Light"/>
          <w:b w:val="0"/>
          <w:i w:val="0"/>
          <w:color w:val="172126"/>
          <w:sz w:val="19"/>
        </w:rPr>
        <w:t>'nin üçüncü bölümüne uygun olarak kütle dengesi kullanılarak yapılır.</w:t>
      </w:r>
    </w:p>
    <w:p>
      <w:pPr>
        <w:pStyle w:val="AnnexSubheading"/>
      </w:pPr>
      <w:r>
        <w:rPr>
          <w:rFonts w:ascii="Avenir Light" w:hAnsi="Avenir Light" w:eastAsia="Avenir Light" w:cs="Avenir Light"/>
          <w:b w:val="0"/>
          <w:i w:val="0"/>
          <w:color w:val="0D5F31"/>
          <w:sz w:val="21"/>
        </w:rPr>
        <w:t xml:space="preserve">16. Yönetmeliğin </w:t>
      </w:r>
      <w:hyperlink w:anchor="ek_1" w:history="1">
        <w:r>
          <w:rPr>
            <w:rFonts w:ascii="Avenir Light" w:hAnsi="Avenir Light" w:eastAsia="Avenir Light" w:cs="Avenir Light"/>
            <w:color w:val="188A42"/>
            <w:sz w:val="21"/>
            <w:szCs w:val="21"/>
          </w:rPr>
          <w:t xml:space="preserve">Ek-1</w:t>
        </w:r>
      </w:hyperlink>
      <w:r>
        <w:rPr>
          <w:rFonts w:ascii="Avenir Light" w:hAnsi="Avenir Light" w:eastAsia="Avenir Light" w:cs="Avenir Light"/>
          <w:b w:val="0"/>
          <w:i w:val="0"/>
          <w:color w:val="0D5F31"/>
          <w:sz w:val="21"/>
        </w:rPr>
        <w:t>’inde Listelenen Nitrik Asit, Adipik Asit, Kaprolaktam, Glioksal ve</w:t>
      </w:r>
    </w:p>
    <w:p>
      <w:pPr>
        <w:pStyle w:val="ArticleText"/>
      </w:pPr>
      <w:r>
        <w:rPr>
          <w:rFonts w:ascii="Avenir Light" w:hAnsi="Avenir Light" w:eastAsia="Avenir Light" w:cs="Avenir Light"/>
          <w:b w:val="0"/>
          <w:i w:val="0"/>
          <w:color w:val="172126"/>
          <w:sz w:val="19"/>
        </w:rPr>
        <w:t>Glioksilik Asit Üretiminden Diazot Oksidin (N 2 O) Belirlenmesi</w:t>
      </w:r>
    </w:p>
    <w:p>
      <w:pPr>
        <w:pStyle w:val="LegalList"/>
      </w:pPr>
      <w:r>
        <w:rPr>
          <w:rFonts w:ascii="Avenir Light" w:hAnsi="Avenir Light" w:eastAsia="Avenir Light" w:cs="Avenir Light"/>
          <w:b w:val="0"/>
          <w:i w:val="0"/>
          <w:color w:val="172126"/>
          <w:sz w:val="19"/>
        </w:rPr>
        <w:t>A) Kapsam İşletme, N 2 O emisyonlarının çıktığı her faaliyet için, ürünlerden kaynaklanan ve azaltma ekipmanlarına yönlendirilen N 2 O emisyonlarını içerecek şekilde üretim proseslerinden N 2 O salınan bütün kaynakları değerlendirir. Bu prosesler aşağıdakilerden herhangi birini içerir:</w:t>
      </w:r>
    </w:p>
    <w:p>
      <w:pPr>
        <w:pStyle w:val="LegalList"/>
      </w:pPr>
      <w:r>
        <w:rPr>
          <w:rFonts w:ascii="Avenir Light" w:hAnsi="Avenir Light" w:eastAsia="Avenir Light" w:cs="Avenir Light"/>
          <w:b w:val="0"/>
          <w:i w:val="0"/>
          <w:color w:val="172126"/>
          <w:sz w:val="19"/>
        </w:rPr>
        <w:t>(a) Nitrik asit üretimi - amonyağın katalitik yükseltgenmesinden ve/veya NOx/N 2 O azaltma birimlerinden çıkan N 2 O emisyonları,</w:t>
      </w:r>
    </w:p>
    <w:p>
      <w:pPr>
        <w:pStyle w:val="LegalList"/>
      </w:pPr>
      <w:r>
        <w:rPr>
          <w:rFonts w:ascii="Avenir Light" w:hAnsi="Avenir Light" w:eastAsia="Avenir Light" w:cs="Avenir Light"/>
          <w:b w:val="0"/>
          <w:i w:val="0"/>
          <w:color w:val="172126"/>
          <w:sz w:val="19"/>
        </w:rPr>
        <w:t>(b) Adipik asit üretimi – yükseltgenme reaksiyonundan, doğrudan proses tahliye ve/veya emisyon kontrol ekipmanından çıkan N 2 O emisyonları,</w:t>
      </w:r>
    </w:p>
    <w:p>
      <w:pPr>
        <w:pStyle w:val="LegalList"/>
      </w:pPr>
      <w:r>
        <w:rPr>
          <w:rFonts w:ascii="Avenir Light" w:hAnsi="Avenir Light" w:eastAsia="Avenir Light" w:cs="Avenir Light"/>
          <w:b w:val="0"/>
          <w:i w:val="0"/>
          <w:color w:val="172126"/>
          <w:sz w:val="19"/>
        </w:rPr>
        <w:t>(c) Glioksal ve glioksilik asit üretimi – proses reaksiyonlarından, doğrudan proses tahliye ve/veya emisyon kontrol ekipmanından çıkan N 2 O emisyonları,</w:t>
      </w:r>
    </w:p>
    <w:p>
      <w:pPr>
        <w:pStyle w:val="LegalList"/>
      </w:pPr>
      <w:r>
        <w:rPr>
          <w:rFonts w:ascii="Avenir Light" w:hAnsi="Avenir Light" w:eastAsia="Avenir Light" w:cs="Avenir Light"/>
          <w:b w:val="0"/>
          <w:i w:val="0"/>
          <w:color w:val="172126"/>
          <w:sz w:val="19"/>
        </w:rPr>
        <w:t>(d) Kaprolaktam üretimi - proses reaksiyonlarından, doğrudan proses tahliye ve/veya emisyon kontrol ekipmanından çıkan N 2 O emisyonları. Bu hükümler yakıtların yanmasından kaynaklanan N 2 O emisyonlarına uygulanmaz.</w:t>
      </w:r>
    </w:p>
    <w:p>
      <w:pPr>
        <w:pStyle w:val="LegalList"/>
      </w:pPr>
      <w:r>
        <w:rPr>
          <w:rFonts w:ascii="Avenir Light" w:hAnsi="Avenir Light" w:eastAsia="Avenir Light" w:cs="Avenir Light"/>
          <w:b w:val="0"/>
          <w:i w:val="0"/>
          <w:color w:val="172126"/>
          <w:sz w:val="19"/>
        </w:rPr>
        <w:t>B) N 2 O Emisyonlarının Belirlenmesi</w:t>
      </w:r>
    </w:p>
    <w:p>
      <w:pPr>
        <w:pStyle w:val="AnnexSubheading"/>
      </w:pPr>
      <w:r>
        <w:rPr>
          <w:rFonts w:ascii="Avenir Light" w:hAnsi="Avenir Light" w:eastAsia="Avenir Light" w:cs="Avenir Light"/>
          <w:b w:val="0"/>
          <w:i w:val="0"/>
          <w:color w:val="0D5F31"/>
          <w:sz w:val="21"/>
        </w:rPr>
        <w:t>B.1 Yıllık N 2 O emisyonları</w:t>
      </w:r>
    </w:p>
    <w:p>
      <w:pPr>
        <w:pStyle w:val="ArticleText"/>
      </w:pPr>
      <w:r>
        <w:rPr>
          <w:rFonts w:ascii="Avenir Light" w:hAnsi="Avenir Light" w:eastAsia="Avenir Light" w:cs="Avenir Light"/>
          <w:b w:val="0"/>
          <w:i w:val="0"/>
          <w:color w:val="172126"/>
          <w:sz w:val="19"/>
        </w:rPr>
        <w:t>İşletme, sürekli emisyon ölçümü kullanarak nitrik asit üretiminden kaynaklanan N 2 O emisyonlarını izler. İşletme, azaltılmış emisyonlar için ölçüm temelli yöntem ve azaltılmamış emisyonların geçici oluşumları için hesaplama temelli yöntem (bir kütle-dengesi yöntemine dayanan) kullanarak adipik asit, kaprolaktam, glioksal ve glioksilik asit üretiminden kaynaklanan N 2 O emisyonlarını izler. İşletme, sürekli emisyon ölçümünün uygulandığı her bir emisyon kaynağı için aşağıdaki formülü kullanarak toplam yıllık emisyonun bütün saatlik emisyonların toplamı olup olmadığını değerlendirir.</w:t>
      </w:r>
    </w:p>
    <w:p>
      <w:pPr>
        <w:pStyle w:val="AnnexSubheading"/>
      </w:pPr>
      <w:r>
        <w:rPr>
          <w:rFonts w:ascii="Avenir Light" w:hAnsi="Avenir Light" w:eastAsia="Avenir Light" w:cs="Avenir Light"/>
          <w:b w:val="0"/>
          <w:i w:val="0"/>
          <w:color w:val="0D5F31"/>
          <w:sz w:val="21"/>
        </w:rPr>
        <w:t>B.2 Saatlik N 2 O emisyonları</w:t>
      </w:r>
    </w:p>
    <w:p>
      <w:pPr>
        <w:pStyle w:val="ArticleText"/>
      </w:pPr>
      <w:r>
        <w:rPr>
          <w:rFonts w:ascii="Avenir Light" w:hAnsi="Avenir Light" w:eastAsia="Avenir Light" w:cs="Avenir Light"/>
          <w:b w:val="0"/>
          <w:i w:val="0"/>
          <w:color w:val="172126"/>
          <w:sz w:val="19"/>
        </w:rPr>
        <w:t xml:space="preserve">İşletme, sürekli emisyon ölçümünün uygulandığı durumda her kaynak için yıllık ortalama saatlik N2O emisyonlarını aşağıdaki denklemi kullanarak </w:t>
      </w:r>
      <w:hyperlink w:anchor="ek_7" w:history="1">
        <w:r>
          <w:rPr>
            <w:rFonts w:ascii="Avenir Light" w:hAnsi="Avenir Light" w:eastAsia="Avenir Light" w:cs="Avenir Light"/>
            <w:color w:val="188A42"/>
            <w:sz w:val="19"/>
            <w:szCs w:val="19"/>
          </w:rPr>
          <w:t xml:space="preserve">Ek-7</w:t>
        </w:r>
      </w:hyperlink>
      <w:r>
        <w:rPr>
          <w:rFonts w:ascii="Avenir Light" w:hAnsi="Avenir Light" w:eastAsia="Avenir Light" w:cs="Avenir Light"/>
          <w:b w:val="0"/>
          <w:i w:val="0"/>
          <w:color w:val="172126"/>
          <w:sz w:val="19"/>
        </w:rPr>
        <w:t>’nin üçüncü bölümünde yer alan 2 numaralı denklemi kullanarak hesaplar. İşletme, azaltmanın kullanıldığı durumda, NO x /N 2 O azaltım ekipmanının ardından, temsili bir noktada ölçüm temelli yöntem kullanarak her bir emisyon kaynağından çıkan baca gazındaki saatlik N 2 O konsantrasyonlarını [mg/Nm3] belirler. İşletme hem azaltılmış hem de azaltılmamış koşullar süresince tüm emisyon kaynaklarının N 2 O konsantrasyonlarını ölçmeye yönelik teknikleri uygular. İşletme, bu süreçte belirsizliklerin artması halinde, bunları belirsizlik değerlendirmesinde dikkate alır. İşletme gerekli olduğunda bütün ölçümleri kuru gazı baz alarak ayarlar ve onları sürekli raporlar.</w:t>
      </w:r>
    </w:p>
    <w:p>
      <w:pPr>
        <w:pStyle w:val="AnnexSubheading"/>
      </w:pPr>
      <w:r>
        <w:rPr>
          <w:rFonts w:ascii="Avenir Light" w:hAnsi="Avenir Light" w:eastAsia="Avenir Light" w:cs="Avenir Light"/>
          <w:b w:val="0"/>
          <w:i w:val="0"/>
          <w:color w:val="0D5F31"/>
          <w:sz w:val="21"/>
        </w:rPr>
        <w:t>B.3 Baca gazı akışının belirlenmesi</w:t>
      </w:r>
    </w:p>
    <w:p>
      <w:pPr>
        <w:pStyle w:val="ArticleText"/>
      </w:pPr>
      <w:r>
        <w:rPr>
          <w:rFonts w:ascii="Avenir Light" w:hAnsi="Avenir Light" w:eastAsia="Avenir Light" w:cs="Avenir Light"/>
          <w:b w:val="0"/>
          <w:i w:val="0"/>
          <w:color w:val="172126"/>
          <w:sz w:val="19"/>
        </w:rPr>
        <w:t xml:space="preserve">İşletme, N 2 O emisyonlarının izlenmesi için baca gazı akışının ölçülmesi amacı ile bu Tebliğin </w:t>
      </w:r>
      <w:hyperlink w:anchor="madde_41" w:history="1">
        <w:r>
          <w:rPr>
            <w:rFonts w:ascii="Avenir Light" w:hAnsi="Avenir Light" w:eastAsia="Avenir Light" w:cs="Avenir Light"/>
            <w:color w:val="188A42"/>
            <w:sz w:val="19"/>
            <w:szCs w:val="19"/>
          </w:rPr>
          <w:t xml:space="preserve">41 inci madde</w:t>
        </w:r>
      </w:hyperlink>
      <w:r>
        <w:rPr>
          <w:rFonts w:ascii="Avenir Light" w:hAnsi="Avenir Light" w:eastAsia="Avenir Light" w:cs="Avenir Light"/>
          <w:b w:val="0"/>
          <w:i w:val="0"/>
          <w:color w:val="172126"/>
          <w:sz w:val="19"/>
        </w:rPr>
        <w:t xml:space="preserve">sinin beşinci fıkrasında ortaya konan baca gazı akışını izlemek için yöntemleri kullanır. Nitrik asit üretimi için, işletme teknik olarak elverişli olduğunda, </w:t>
      </w:r>
      <w:hyperlink w:anchor="madde_41" w:history="1">
        <w:r>
          <w:rPr>
            <w:rFonts w:ascii="Avenir Light" w:hAnsi="Avenir Light" w:eastAsia="Avenir Light" w:cs="Avenir Light"/>
            <w:color w:val="188A42"/>
            <w:sz w:val="19"/>
            <w:szCs w:val="19"/>
          </w:rPr>
          <w:t xml:space="preserve">41 inci madde</w:t>
        </w:r>
      </w:hyperlink>
      <w:r>
        <w:rPr>
          <w:rFonts w:ascii="Avenir Light" w:hAnsi="Avenir Light" w:eastAsia="Avenir Light" w:cs="Avenir Light"/>
          <w:b w:val="0"/>
          <w:i w:val="0"/>
          <w:color w:val="172126"/>
          <w:sz w:val="19"/>
        </w:rPr>
        <w:t>nin beşinci fıkrasının (a) bendi kapsamındaki yöntemi uygular. Bu durumda işletme, amonyak girdi yükü veya sürekli emisyon akış ölçümü tarafından akışın belirlenmesi gibi önemli parametrelere dayanarak bir kütle dengesi yöntemini içeren, alternatif bir yöntemi Bakanlığın onayına bağlı olarak uygular. Baca gazı akışı aşağıdaki formül kapsamında hesaplanır: Vbaca gazı akışı [Nm3/s] = Vhava * (1 - O2,air) / (1 - O2, baca gazı) Burada; Vhava = Standart koşullarda Nm³/saat cinsinde toplam giren hava O 2, hava = Kuru havada O 2 ’nin hacim oranı [= 0.2095] O 2, baca gazı = Baca gazındaki O 2 ’nin hacim oranı V hava nitrik asit üretim birimine giren bütün hava akışlarının toplamı olarak hesaplanır. İzleme planında aksi belirtilmedikçe, işletme aşağıdaki formülü uygular: Vhava = Vbirinci + Vikinci+ Vsızdırmazlık Burada; Vbirinci= Standart koşullarda Nm³/saat cinsinde birinci girdi hava akışı Vikinci= Standart koşullarda Nm³/saat cinsinde ikinci girdi hava akışı Vsızdırmazlık= Standart koşullarda Nm³/saat cinsinde sızdırmazlık girdi hava akışı İşletme, amonyak ile karışım gerçekleşmeden önce sürekli akış ölçüm vasıtası ile Vbirinci değerini belirler. İşletme, ölçümün ısı geri kazanım biriminden önce olması durumunu da içerecek şekilde, sürekli akış ölçüm vasıtası ile Vikinci değerini belirler. İşletme, Vsızdırmazlık değeri için nitrik asit üretim prosesi içinde saflaştırılmış hava akışını değerlendirir. Kümülatif olarak toplam hava akışının %2.5’inden az olan hava giriş akışları için, Bakanlık sanayideki en iyi uygulamalara dayanarak işletme tarafından teklif edilen hava akış oranının belirlenmesi için tahmin yöntemlerini kabul eder. İşletme önerilen ölçüm yönteminin kabul edilmesi için ölçülen baca gazı akışının yeterince homojen olduğuna dair normal şartlar altında yapılan ölçümler ile bilgi ve belgeleri Bakanlığa gönderir. Bu ölçümler aracılığı ile homojen olmayan akışın onaylandığı durumda, işletme uygun izleme yöntemlerini belirleyeceği zaman ve N 2 O emisyonlarındaki belirsizliği hesaplayacağı zaman bunu dikkate alır. İşletme gerekli olduğunda bütün ölçümleri kuru gazı baz alarak ayarlar ve onları sürekli raporlar.</w:t>
      </w:r>
    </w:p>
    <w:p>
      <w:pPr>
        <w:pStyle w:val="AnnexSubheading"/>
      </w:pPr>
      <w:r>
        <w:rPr>
          <w:rFonts w:ascii="Avenir Light" w:hAnsi="Avenir Light" w:eastAsia="Avenir Light" w:cs="Avenir Light"/>
          <w:b w:val="0"/>
          <w:i w:val="0"/>
          <w:color w:val="0D5F31"/>
          <w:sz w:val="21"/>
        </w:rPr>
        <w:t>B.4 Oksijen (O 2 ) konsantrasyonları</w:t>
      </w:r>
    </w:p>
    <w:p>
      <w:pPr>
        <w:pStyle w:val="ArticleText"/>
      </w:pPr>
      <w:r>
        <w:rPr>
          <w:rFonts w:ascii="Avenir Light" w:hAnsi="Avenir Light" w:eastAsia="Avenir Light" w:cs="Avenir Light"/>
          <w:b w:val="0"/>
          <w:i w:val="0"/>
          <w:color w:val="172126"/>
          <w:sz w:val="19"/>
        </w:rPr>
        <w:t>İşletme bu bölümün B.3 uyarınca baca gazı akışını hesaplamak için gerekli olduğunda baca gazındaki oksijen konsantrasyonlarını ölçer. Bunu yaparken, işletme 40ıncı maddenin birinci ve ikinci fıkraları kapsamındaki konsantrasyon ölçümleri için gereklilikleri karşılar. N 2 O emisyonlarının belirsizliğini hesaplarken, işletme O 2 konsantrasyon ölçümlerinin belirsizliğini dikkate alır. İşletme gerekli olduğunda bütün ölçümleri kuru gazı baz alarak ayarlar ve onları sürekli raporlar.</w:t>
      </w:r>
    </w:p>
    <w:p>
      <w:pPr>
        <w:pStyle w:val="AnnexSubheading"/>
      </w:pPr>
      <w:r>
        <w:rPr>
          <w:rFonts w:ascii="Avenir Light" w:hAnsi="Avenir Light" w:eastAsia="Avenir Light" w:cs="Avenir Light"/>
          <w:b w:val="0"/>
          <w:i w:val="0"/>
          <w:color w:val="0D5F31"/>
          <w:sz w:val="21"/>
        </w:rPr>
        <w:t>B.5 N 2 O emisyonlarının hesaplanması</w:t>
      </w:r>
    </w:p>
    <w:p>
      <w:pPr>
        <w:pStyle w:val="ArticleText"/>
      </w:pPr>
      <w:r>
        <w:rPr>
          <w:rFonts w:ascii="Avenir Light" w:hAnsi="Avenir Light" w:eastAsia="Avenir Light" w:cs="Avenir Light"/>
          <w:b w:val="0"/>
          <w:i w:val="0"/>
          <w:color w:val="172126"/>
          <w:sz w:val="19"/>
        </w:rPr>
        <w:t xml:space="preserve">Güvenlik sebebi ile baca gazı arıtma sistemine girmeden havalandırmadan kaynaklanan emisyonları içererek ve bu sistem çalışmadığı zaman ve N 2 O için sürekli emisyon izlemesinin teknik olarak elverişli olmadığı durumda, adipik asit, kaprolaktam, glioksal ve glioksilik asit üretiminden kaynaklanan baca gazı arıtma sistemine girmemiş N 2 O emisyonları için, işletme Bakanlığın uygun görüşü ile bir kütle denge yöntemi kullanarak N 2 O emisyonlarını hesaplar. Bu amaç ile toplam belirsizlik </w:t>
      </w:r>
      <w:hyperlink w:anchor="madde_39" w:history="1">
        <w:r>
          <w:rPr>
            <w:rFonts w:ascii="Avenir Light" w:hAnsi="Avenir Light" w:eastAsia="Avenir Light" w:cs="Avenir Light"/>
            <w:color w:val="188A42"/>
            <w:sz w:val="19"/>
            <w:szCs w:val="19"/>
          </w:rPr>
          <w:t xml:space="preserve">39 uncu madde</w:t>
        </w:r>
      </w:hyperlink>
      <w:r>
        <w:rPr>
          <w:rFonts w:ascii="Avenir Light" w:hAnsi="Avenir Light" w:eastAsia="Avenir Light" w:cs="Avenir Light"/>
          <w:b w:val="0"/>
          <w:i w:val="0"/>
          <w:color w:val="172126"/>
          <w:sz w:val="19"/>
        </w:rPr>
        <w:t>nin birinci ve ikinci fıkralarında belirtilen uygulamanın sonuçları ile uyumlu olur. İşletme, hesaplama yöntemini, emisyon süresince ve zamanında ortaya çıkan kimyasal reaksiyondan çıkan azami potansiyel N 2 O emisyon oranına dayandırır. İşletme emisyon kaynağı için yıllık ortalama saatlik belirsizliği tespit ederken belirli bir emisyon kaynağı için hesaplanmış emisyon belirsizliklerini dikkate alır.</w:t>
      </w:r>
    </w:p>
    <w:p>
      <w:pPr>
        <w:pStyle w:val="AnnexSubheading"/>
      </w:pPr>
      <w:r>
        <w:rPr>
          <w:rFonts w:ascii="Avenir Light" w:hAnsi="Avenir Light" w:eastAsia="Avenir Light" w:cs="Avenir Light"/>
          <w:b w:val="0"/>
          <w:i w:val="0"/>
          <w:color w:val="0D5F31"/>
          <w:sz w:val="21"/>
        </w:rPr>
        <w:t>B.6 Faaliyet üretim hızlarının belirlenmesi</w:t>
      </w:r>
    </w:p>
    <w:p>
      <w:pPr>
        <w:pStyle w:val="ArticleText"/>
      </w:pPr>
      <w:r>
        <w:rPr>
          <w:rFonts w:ascii="Avenir Light" w:hAnsi="Avenir Light" w:eastAsia="Avenir Light" w:cs="Avenir Light"/>
          <w:b w:val="0"/>
          <w:i w:val="0"/>
          <w:color w:val="172126"/>
          <w:sz w:val="19"/>
        </w:rPr>
        <w:t>Üretim hızları günlük üretim raporları ve işletim saatleri kullanılarak hesaplanır.</w:t>
      </w:r>
    </w:p>
    <w:p>
      <w:pPr>
        <w:pStyle w:val="AnnexSubheading"/>
      </w:pPr>
      <w:r>
        <w:rPr>
          <w:rFonts w:ascii="Avenir Light" w:hAnsi="Avenir Light" w:eastAsia="Avenir Light" w:cs="Avenir Light"/>
          <w:b w:val="0"/>
          <w:i w:val="0"/>
          <w:color w:val="0D5F31"/>
          <w:sz w:val="21"/>
        </w:rPr>
        <w:t>B.7 Örnekleme hızları</w:t>
      </w:r>
    </w:p>
    <w:p>
      <w:pPr>
        <w:pStyle w:val="ArticleText"/>
      </w:pPr>
      <w:r>
        <w:rPr>
          <w:rFonts w:ascii="Avenir Light" w:hAnsi="Avenir Light" w:eastAsia="Avenir Light" w:cs="Avenir Light"/>
          <w:b w:val="0"/>
          <w:i w:val="0"/>
          <w:color w:val="172126"/>
          <w:sz w:val="19"/>
        </w:rPr>
        <w:t xml:space="preserve">Geçerli saatlik ortalamalar veya daha kısa referans dönemi için ortalamalar aşağıdakiler için </w:t>
      </w:r>
      <w:hyperlink w:anchor="madde_43" w:history="1">
        <w:r>
          <w:rPr>
            <w:rFonts w:ascii="Avenir Light" w:hAnsi="Avenir Light" w:eastAsia="Avenir Light" w:cs="Avenir Light"/>
            <w:color w:val="188A42"/>
            <w:sz w:val="19"/>
            <w:szCs w:val="19"/>
          </w:rPr>
          <w:t xml:space="preserve">43 üncü madde</w:t>
        </w:r>
      </w:hyperlink>
      <w:r>
        <w:rPr>
          <w:rFonts w:ascii="Avenir Light" w:hAnsi="Avenir Light" w:eastAsia="Avenir Light" w:cs="Avenir Light"/>
          <w:b w:val="0"/>
          <w:i w:val="0"/>
          <w:color w:val="172126"/>
          <w:sz w:val="19"/>
        </w:rPr>
        <w:t xml:space="preserve"> kapsamında hesaplanır:</w:t>
      </w:r>
    </w:p>
    <w:p>
      <w:pPr>
        <w:pStyle w:val="LegalList"/>
      </w:pPr>
      <w:r>
        <w:rPr>
          <w:rFonts w:ascii="Avenir Light" w:hAnsi="Avenir Light" w:eastAsia="Avenir Light" w:cs="Avenir Light"/>
          <w:b w:val="0"/>
          <w:i w:val="0"/>
          <w:color w:val="172126"/>
          <w:sz w:val="19"/>
        </w:rPr>
        <w:t>(a) Baca gazındaki N 2 O konsantrasyonu,</w:t>
      </w:r>
    </w:p>
    <w:p>
      <w:pPr>
        <w:pStyle w:val="LegalList"/>
      </w:pPr>
      <w:r>
        <w:rPr>
          <w:rFonts w:ascii="Avenir Light" w:hAnsi="Avenir Light" w:eastAsia="Avenir Light" w:cs="Avenir Light"/>
          <w:b w:val="0"/>
          <w:i w:val="0"/>
          <w:color w:val="172126"/>
          <w:sz w:val="19"/>
        </w:rPr>
        <w:t>(b) Doğrudan ölçüldüğü ve gerekli olduğu durumda, toplam baca gaz akışı,</w:t>
      </w:r>
    </w:p>
    <w:p>
      <w:pPr>
        <w:pStyle w:val="LegalList"/>
      </w:pPr>
      <w:r>
        <w:rPr>
          <w:rFonts w:ascii="Avenir Light" w:hAnsi="Avenir Light" w:eastAsia="Avenir Light" w:cs="Avenir Light"/>
          <w:b w:val="0"/>
          <w:i w:val="0"/>
          <w:color w:val="172126"/>
          <w:sz w:val="19"/>
        </w:rPr>
        <w:t>(c) Dolaylı toplam baca gazı akışını belirlemek için gerekli bütün gaz akışları ve oksijen konsantrasyonları.</w:t>
      </w:r>
    </w:p>
    <w:p>
      <w:pPr>
        <w:pStyle w:val="LegalList"/>
      </w:pPr>
      <w:r>
        <w:rPr>
          <w:rFonts w:ascii="Avenir Light" w:hAnsi="Avenir Light" w:eastAsia="Avenir Light" w:cs="Avenir Light"/>
          <w:b w:val="0"/>
          <w:i w:val="0"/>
          <w:color w:val="172126"/>
          <w:sz w:val="19"/>
        </w:rPr>
        <w:t xml:space="preserve">C) Yıllık CO 2 Eşitliğinin - CO 2(eşd) Belirlenmesi İşletme, aşağıdaki formülü ve </w:t>
      </w:r>
      <w:hyperlink w:anchor="ek_5" w:history="1">
        <w:r>
          <w:rPr>
            <w:rFonts w:ascii="Avenir Light" w:hAnsi="Avenir Light" w:eastAsia="Avenir Light" w:cs="Avenir Light"/>
            <w:color w:val="188A42"/>
            <w:sz w:val="19"/>
            <w:szCs w:val="19"/>
          </w:rPr>
          <w:t xml:space="preserve">ek-5</w:t>
        </w:r>
      </w:hyperlink>
      <w:r>
        <w:rPr>
          <w:rFonts w:ascii="Avenir Light" w:hAnsi="Avenir Light" w:eastAsia="Avenir Light" w:cs="Avenir Light"/>
          <w:b w:val="0"/>
          <w:i w:val="0"/>
          <w:color w:val="172126"/>
          <w:sz w:val="19"/>
        </w:rPr>
        <w:t>'in üçüncü bölümünde bulunan Küresel Isınma Potansiyeli (KIP) değerlerini kullanarak ton cinsinde ölçülmüş bütün emisyon kaynaklarından çıkan toplam yıllık N 2 O emisyonlarını üç ondalık haneye yuvarlayarak ton olarak çevirir: CO 2(eşd) [t] = N 2 O yıllık [t] * KIP N2O Bütün emisyon kaynaklarından çıkan toplam yıllık CO 2(eşd) ve diğer emisyon kaynaklarından çıkan doğrudan CO 2 emisyonları tesis tarafından üretilen yıllık CO 2 emisyonlarına eklenir ve raporlamada kullanılır. N 2 O’nun toplam yıllık emisyonları ton cinsinde üç ondalık haneli olarak ve CO 2(eşd) olarak yuvarlanmış ton cinsinde raporlanır.</w:t>
      </w:r>
    </w:p>
    <w:p>
      <w:pPr>
        <w:pStyle w:val="AnnexSubheading"/>
      </w:pPr>
      <w:r>
        <w:rPr>
          <w:rFonts w:ascii="Avenir Light" w:hAnsi="Avenir Light" w:eastAsia="Avenir Light" w:cs="Avenir Light"/>
          <w:b w:val="0"/>
          <w:i w:val="0"/>
          <w:color w:val="0D5F31"/>
          <w:sz w:val="21"/>
        </w:rPr>
        <w:t xml:space="preserve">17. Yönetmeliğin </w:t>
      </w:r>
      <w:hyperlink w:anchor="ek_1" w:history="1">
        <w:r>
          <w:rPr>
            <w:rFonts w:ascii="Avenir Light" w:hAnsi="Avenir Light" w:eastAsia="Avenir Light" w:cs="Avenir Light"/>
            <w:color w:val="188A42"/>
            <w:sz w:val="21"/>
            <w:szCs w:val="21"/>
          </w:rPr>
          <w:t xml:space="preserve">Ek-1</w:t>
        </w:r>
      </w:hyperlink>
      <w:r>
        <w:rPr>
          <w:rFonts w:ascii="Avenir Light" w:hAnsi="Avenir Light" w:eastAsia="Avenir Light" w:cs="Avenir Light"/>
          <w:b w:val="0"/>
          <w:i w:val="0"/>
          <w:color w:val="0D5F31"/>
          <w:sz w:val="21"/>
        </w:rPr>
        <w:t>’inde Listelenen Amonyağın Üretimi</w:t>
      </w:r>
    </w:p>
    <w:p>
      <w:pPr>
        <w:pStyle w:val="LegalList"/>
      </w:pPr>
      <w:r>
        <w:rPr>
          <w:rFonts w:ascii="Avenir Light" w:hAnsi="Avenir Light" w:eastAsia="Avenir Light" w:cs="Avenir Light"/>
          <w:b w:val="0"/>
          <w:i w:val="0"/>
          <w:color w:val="172126"/>
          <w:sz w:val="19"/>
        </w:rPr>
        <w:t>A) Kapsam İşletme, en az aşağıdaki potansiyel CO 2 emisyon kaynaklarını dahil eder: yeniden şekillendirme veya kısmi yükseltgenme için ısı temin eden yakıtların yanması, amonyak üretim prosesinde işlem girdisi olarak kullanılan yakıtlar (yeniden şekillendirme veya yükseltgenme), sıcak su veya buhar üretimi amaçlı prosesleri içeren diğer yanma prosesleri için kullanılan yakıtlar.</w:t>
      </w:r>
    </w:p>
    <w:p>
      <w:pPr>
        <w:pStyle w:val="LegalList"/>
      </w:pPr>
      <w:r>
        <w:rPr>
          <w:rFonts w:ascii="Avenir Light" w:hAnsi="Avenir Light" w:eastAsia="Avenir Light" w:cs="Avenir Light"/>
          <w:b w:val="0"/>
          <w:i w:val="0"/>
          <w:color w:val="172126"/>
          <w:sz w:val="19"/>
        </w:rPr>
        <w:t xml:space="preserve">B) Özel İzleme Kuralları Yanma proseslerinden ve işlem girdisi olarak kullanılan yakıtlardan kaynaklanan emisyonların izlenmesi için, </w:t>
      </w:r>
      <w:hyperlink w:anchor="madde_22" w:history="1">
        <w:r>
          <w:rPr>
            <w:rFonts w:ascii="Avenir Light" w:hAnsi="Avenir Light" w:eastAsia="Avenir Light" w:cs="Avenir Light"/>
            <w:color w:val="188A42"/>
            <w:sz w:val="19"/>
            <w:szCs w:val="19"/>
          </w:rPr>
          <w:t xml:space="preserve">22 nci madde</w:t>
        </w:r>
      </w:hyperlink>
      <w:r>
        <w:rPr>
          <w:rFonts w:ascii="Avenir Light" w:hAnsi="Avenir Light" w:eastAsia="Avenir Light" w:cs="Avenir Light"/>
          <w:b w:val="0"/>
          <w:i w:val="0"/>
          <w:color w:val="172126"/>
          <w:sz w:val="19"/>
        </w:rPr>
        <w:t xml:space="preserve"> ve bu Ekin birinci bölümü uyarınca standart yöntem uygulanır. Amonyak üretiminden kaynaklanan CO 2 ’nin üre veya diğer kimyasalların üretimi için besleme stoku olarak kullanıldığı veya </w:t>
      </w:r>
      <w:hyperlink w:anchor="madde_47" w:history="1">
        <w:r>
          <w:rPr>
            <w:rFonts w:ascii="Avenir Light" w:hAnsi="Avenir Light" w:eastAsia="Avenir Light" w:cs="Avenir Light"/>
            <w:color w:val="188A42"/>
            <w:sz w:val="19"/>
            <w:szCs w:val="19"/>
          </w:rPr>
          <w:t xml:space="preserve">47 nci madde</w:t>
        </w:r>
      </w:hyperlink>
      <w:r>
        <w:rPr>
          <w:rFonts w:ascii="Avenir Light" w:hAnsi="Avenir Light" w:eastAsia="Avenir Light" w:cs="Avenir Light"/>
          <w:b w:val="0"/>
          <w:i w:val="0"/>
          <w:color w:val="172126"/>
          <w:sz w:val="19"/>
        </w:rPr>
        <w:t>nin birinci fıkrasının kapsamadığı herhangi kullanım için tesisten dışarı transfer edildiği durumda, ilgili CO 2 miktarı CO 2 üreten tesis tarafından salınmış olarak değerlendirilir.</w:t>
      </w:r>
    </w:p>
    <w:p>
      <w:pPr>
        <w:pStyle w:val="AnnexSubheading"/>
      </w:pPr>
      <w:r>
        <w:rPr>
          <w:rFonts w:ascii="Avenir Light" w:hAnsi="Avenir Light" w:eastAsia="Avenir Light" w:cs="Avenir Light"/>
          <w:b w:val="0"/>
          <w:i w:val="0"/>
          <w:color w:val="0D5F31"/>
          <w:sz w:val="21"/>
        </w:rPr>
        <w:t xml:space="preserve">18. Yönetmeliğin </w:t>
      </w:r>
      <w:hyperlink w:anchor="ek_1" w:history="1">
        <w:r>
          <w:rPr>
            <w:rFonts w:ascii="Avenir Light" w:hAnsi="Avenir Light" w:eastAsia="Avenir Light" w:cs="Avenir Light"/>
            <w:color w:val="188A42"/>
            <w:sz w:val="21"/>
            <w:szCs w:val="21"/>
          </w:rPr>
          <w:t xml:space="preserve">Ek-1</w:t>
        </w:r>
      </w:hyperlink>
      <w:r>
        <w:rPr>
          <w:rFonts w:ascii="Avenir Light" w:hAnsi="Avenir Light" w:eastAsia="Avenir Light" w:cs="Avenir Light"/>
          <w:b w:val="0"/>
          <w:i w:val="0"/>
          <w:color w:val="0D5F31"/>
          <w:sz w:val="21"/>
        </w:rPr>
        <w:t>’inde Listelenen Yığın Organik Kimyasalların Üretimi</w:t>
      </w:r>
    </w:p>
    <w:p>
      <w:pPr>
        <w:pStyle w:val="LegalList"/>
      </w:pPr>
      <w:r>
        <w:rPr>
          <w:rFonts w:ascii="Avenir Light" w:hAnsi="Avenir Light" w:eastAsia="Avenir Light" w:cs="Avenir Light"/>
          <w:b w:val="0"/>
          <w:i w:val="0"/>
          <w:color w:val="172126"/>
          <w:sz w:val="19"/>
        </w:rPr>
        <w:t>A) Kapsam İşletme, asgari aşağıdaki potansiyel CO 2 emisyon kaynaklarını dahil eder: kraking (katalitik ve katalitik olmayan), reforming, kısmi veya tam yükseltgenme, hidrokarbon bazlı besleme stoğundaki karbondan CO 2 emisyonlarına yol açan benzer işlemler, atık gazların yakılması ve alevleme ve diğer yanma işlemlerindeki yakıtın yanması.</w:t>
      </w:r>
    </w:p>
    <w:p>
      <w:pPr>
        <w:pStyle w:val="LegalList"/>
      </w:pPr>
      <w:r>
        <w:rPr>
          <w:rFonts w:ascii="Avenir Light" w:hAnsi="Avenir Light" w:eastAsia="Avenir Light" w:cs="Avenir Light"/>
          <w:b w:val="0"/>
          <w:i w:val="0"/>
          <w:color w:val="172126"/>
          <w:sz w:val="19"/>
        </w:rPr>
        <w:t xml:space="preserve">B) Özel İzleme Kuralları Yığın organik kimyasalların üretiminin bir petrol rafinerisine teknik olarak entegre edildiği durumda, işletme bu Ekin ikinci bölümündeki ilgili hükümleri uygular. İşletme </w:t>
      </w:r>
      <w:hyperlink w:anchor="madde_22" w:history="1">
        <w:r>
          <w:rPr>
            <w:rFonts w:ascii="Avenir Light" w:hAnsi="Avenir Light" w:eastAsia="Avenir Light" w:cs="Avenir Light"/>
            <w:color w:val="188A42"/>
            <w:sz w:val="19"/>
            <w:szCs w:val="19"/>
          </w:rPr>
          <w:t xml:space="preserve">22 nci madde</w:t>
        </w:r>
      </w:hyperlink>
      <w:r>
        <w:rPr>
          <w:rFonts w:ascii="Avenir Light" w:hAnsi="Avenir Light" w:eastAsia="Avenir Light" w:cs="Avenir Light"/>
          <w:b w:val="0"/>
          <w:i w:val="0"/>
          <w:color w:val="172126"/>
          <w:sz w:val="19"/>
        </w:rPr>
        <w:t xml:space="preserve"> ve bu Ekin birinci bölümü kapsamında standart yöntem kullanan yığın organik kimyasalların üretimi için kimyasal reaksiyonlarda yer almayan veya onlardan çıkan yakıtın kullanıldığı durumda yanma işlemlerinin ürettiği emisyonları 1inci paragrafa aykırı olmayacak şekilde izler. Diğer bütün durumlarda, işletme </w:t>
      </w:r>
      <w:hyperlink w:anchor="madde_23" w:history="1">
        <w:r>
          <w:rPr>
            <w:rFonts w:ascii="Avenir Light" w:hAnsi="Avenir Light" w:eastAsia="Avenir Light" w:cs="Avenir Light"/>
            <w:color w:val="188A42"/>
            <w:sz w:val="19"/>
            <w:szCs w:val="19"/>
          </w:rPr>
          <w:t xml:space="preserve">23 üncü madde</w:t>
        </w:r>
      </w:hyperlink>
      <w:r>
        <w:rPr>
          <w:rFonts w:ascii="Avenir Light" w:hAnsi="Avenir Light" w:eastAsia="Avenir Light" w:cs="Avenir Light"/>
          <w:b w:val="0"/>
          <w:i w:val="0"/>
          <w:color w:val="172126"/>
          <w:sz w:val="19"/>
        </w:rPr>
        <w:t xml:space="preserve"> kapsamında kütle dengesi yöntemi ile veya </w:t>
      </w:r>
      <w:hyperlink w:anchor="madde_22" w:history="1">
        <w:r>
          <w:rPr>
            <w:rFonts w:ascii="Avenir Light" w:hAnsi="Avenir Light" w:eastAsia="Avenir Light" w:cs="Avenir Light"/>
            <w:color w:val="188A42"/>
            <w:sz w:val="19"/>
            <w:szCs w:val="19"/>
          </w:rPr>
          <w:t xml:space="preserve">22 nci madde</w:t>
        </w:r>
      </w:hyperlink>
      <w:r>
        <w:rPr>
          <w:rFonts w:ascii="Avenir Light" w:hAnsi="Avenir Light" w:eastAsia="Avenir Light" w:cs="Avenir Light"/>
          <w:b w:val="0"/>
          <w:i w:val="0"/>
          <w:color w:val="172126"/>
          <w:sz w:val="19"/>
        </w:rPr>
        <w:t xml:space="preserve"> kapsamında standart yöntem ile yığın organik kimyasalların üretiminden kaynaklanan emisyonları izlemeyi seçer. Standart yöntemin kullanıldığı durumda, işletme seçilen yöntemin kütle-dengesi yöntemi ile ilgili emisyonları kapsadığına dair bilgi ve belgeleri Bakanlığa sunar. Kademe 1 altında karbon içeriğinin belirlenmesi için, </w:t>
      </w:r>
      <w:hyperlink w:anchor="ek_5" w:history="1">
        <w:r>
          <w:rPr>
            <w:rFonts w:ascii="Avenir Light" w:hAnsi="Avenir Light" w:eastAsia="Avenir Light" w:cs="Avenir Light"/>
            <w:color w:val="188A42"/>
            <w:sz w:val="19"/>
            <w:szCs w:val="19"/>
          </w:rPr>
          <w:t xml:space="preserve">ek-5</w:t>
        </w:r>
      </w:hyperlink>
      <w:r>
        <w:rPr>
          <w:rFonts w:ascii="Avenir Light" w:hAnsi="Avenir Light" w:eastAsia="Avenir Light" w:cs="Avenir Light"/>
          <w:b w:val="0"/>
          <w:i w:val="0"/>
          <w:color w:val="172126"/>
          <w:sz w:val="19"/>
        </w:rPr>
        <w:t xml:space="preserve"> Tablo 5.5’te listelenen referans emisyon faktörleri uygulanır. </w:t>
      </w:r>
      <w:hyperlink w:anchor="ek_5" w:history="1">
        <w:r>
          <w:rPr>
            <w:rFonts w:ascii="Avenir Light" w:hAnsi="Avenir Light" w:eastAsia="Avenir Light" w:cs="Avenir Light"/>
            <w:color w:val="188A42"/>
            <w:sz w:val="19"/>
            <w:szCs w:val="19"/>
          </w:rPr>
          <w:t xml:space="preserve">ek-5</w:t>
        </w:r>
      </w:hyperlink>
      <w:r>
        <w:rPr>
          <w:rFonts w:ascii="Avenir Light" w:hAnsi="Avenir Light" w:eastAsia="Avenir Light" w:cs="Avenir Light"/>
          <w:b w:val="0"/>
          <w:i w:val="0"/>
          <w:color w:val="172126"/>
          <w:sz w:val="19"/>
        </w:rPr>
        <w:t xml:space="preserve"> Tablo 5.5’te veya bu Tebliğin diğer hükümlerinde listelenmeyen maddeler için, işletme karbon içeriğini saf maddedeki stokiyometrik karbon içeriğinden ve girdi ile çıktı akışındaki madde konsantrasyonundan hesaplar.</w:t>
      </w:r>
    </w:p>
    <w:p>
      <w:pPr>
        <w:pStyle w:val="AnnexSubheading"/>
      </w:pPr>
      <w:r>
        <w:rPr>
          <w:rFonts w:ascii="Avenir Light" w:hAnsi="Avenir Light" w:eastAsia="Avenir Light" w:cs="Avenir Light"/>
          <w:b w:val="0"/>
          <w:i w:val="0"/>
          <w:color w:val="0D5F31"/>
          <w:sz w:val="21"/>
        </w:rPr>
        <w:t xml:space="preserve">19. Yönetmeliğin </w:t>
      </w:r>
      <w:hyperlink w:anchor="ek_1" w:history="1">
        <w:r>
          <w:rPr>
            <w:rFonts w:ascii="Avenir Light" w:hAnsi="Avenir Light" w:eastAsia="Avenir Light" w:cs="Avenir Light"/>
            <w:color w:val="188A42"/>
            <w:sz w:val="21"/>
            <w:szCs w:val="21"/>
          </w:rPr>
          <w:t xml:space="preserve">Ek-1</w:t>
        </w:r>
      </w:hyperlink>
      <w:r>
        <w:rPr>
          <w:rFonts w:ascii="Avenir Light" w:hAnsi="Avenir Light" w:eastAsia="Avenir Light" w:cs="Avenir Light"/>
          <w:b w:val="0"/>
          <w:i w:val="0"/>
          <w:color w:val="0D5F31"/>
          <w:sz w:val="21"/>
        </w:rPr>
        <w:t>’inde Listelenen Hidrojen ve Sentetik Gazların Üretimi</w:t>
      </w:r>
    </w:p>
    <w:p>
      <w:pPr>
        <w:pStyle w:val="LegalList"/>
      </w:pPr>
      <w:r>
        <w:rPr>
          <w:rFonts w:ascii="Avenir Light" w:hAnsi="Avenir Light" w:eastAsia="Avenir Light" w:cs="Avenir Light"/>
          <w:b w:val="0"/>
          <w:i w:val="0"/>
          <w:color w:val="172126"/>
          <w:sz w:val="19"/>
        </w:rPr>
        <w:t>A) Kapsam İşletme asgari olarak aşağıdaki potansiyel CO 2 emisyon kaynaklarını dahil eder: hidrojen veya sentez gaz üretimi prosesinde kullanılan yakıtlar (reforming veya kısmi yükseltgenme) ve sıcak su veya buhar üretimi amaçlı kullanılan yakıtlar dahil olmak üzere diğer yanma işlemleri için kullanılan yakıtlar. Üretilen sentez gazı kütle denge yöntemi altında kaynak akışı olarak değerlendirilir.</w:t>
      </w:r>
    </w:p>
    <w:p>
      <w:pPr>
        <w:pStyle w:val="LegalList"/>
      </w:pPr>
      <w:r>
        <w:rPr>
          <w:rFonts w:ascii="Avenir Light" w:hAnsi="Avenir Light" w:eastAsia="Avenir Light" w:cs="Avenir Light"/>
          <w:b w:val="0"/>
          <w:i w:val="0"/>
          <w:color w:val="172126"/>
          <w:sz w:val="19"/>
        </w:rPr>
        <w:t xml:space="preserve">B) Özel İzleme Kuralları Yanma proseslerinden ve hidrojen üretiminde proses girdileri olarak kullanılan yakıtlardan kaynaklanan emisyonları izlemek için </w:t>
      </w:r>
      <w:hyperlink w:anchor="madde_22" w:history="1">
        <w:r>
          <w:rPr>
            <w:rFonts w:ascii="Avenir Light" w:hAnsi="Avenir Light" w:eastAsia="Avenir Light" w:cs="Avenir Light"/>
            <w:color w:val="188A42"/>
            <w:sz w:val="19"/>
            <w:szCs w:val="19"/>
          </w:rPr>
          <w:t xml:space="preserve">22 nci madde</w:t>
        </w:r>
      </w:hyperlink>
      <w:r>
        <w:rPr>
          <w:rFonts w:ascii="Avenir Light" w:hAnsi="Avenir Light" w:eastAsia="Avenir Light" w:cs="Avenir Light"/>
          <w:b w:val="0"/>
          <w:i w:val="0"/>
          <w:color w:val="172126"/>
          <w:sz w:val="19"/>
        </w:rPr>
        <w:t xml:space="preserve"> ve bu Ekin birinci bölümü uyarınca standart yöntem kullanılır. Sentez gazı üretiminden kaynaklanan emisyonların izlenmesi için, </w:t>
      </w:r>
      <w:hyperlink w:anchor="madde_23" w:history="1">
        <w:r>
          <w:rPr>
            <w:rFonts w:ascii="Avenir Light" w:hAnsi="Avenir Light" w:eastAsia="Avenir Light" w:cs="Avenir Light"/>
            <w:color w:val="188A42"/>
            <w:sz w:val="19"/>
            <w:szCs w:val="19"/>
          </w:rPr>
          <w:t xml:space="preserve">23 üncü madde</w:t>
        </w:r>
      </w:hyperlink>
      <w:r>
        <w:rPr>
          <w:rFonts w:ascii="Avenir Light" w:hAnsi="Avenir Light" w:eastAsia="Avenir Light" w:cs="Avenir Light"/>
          <w:b w:val="0"/>
          <w:i w:val="0"/>
          <w:color w:val="172126"/>
          <w:sz w:val="19"/>
        </w:rPr>
        <w:t xml:space="preserve"> ile bağlantılı olarak kütle dengesi yöntemi kullanılır. İşletmeci, ayrı yanma işlemlerinden kaynaklanan emisyonları kütle dengesine dâhil etmeyi veya herhangi eksiklik olmasını veya emisyonların mükerrer sayımını önleyecek şekilde, asgari düzeyde kaynak akışlarının bir kısmı için </w:t>
      </w:r>
      <w:hyperlink w:anchor="madde_22" w:history="1">
        <w:r>
          <w:rPr>
            <w:rFonts w:ascii="Avenir Light" w:hAnsi="Avenir Light" w:eastAsia="Avenir Light" w:cs="Avenir Light"/>
            <w:color w:val="188A42"/>
            <w:sz w:val="19"/>
            <w:szCs w:val="19"/>
          </w:rPr>
          <w:t xml:space="preserve">22 nci madde</w:t>
        </w:r>
      </w:hyperlink>
      <w:r>
        <w:rPr>
          <w:rFonts w:ascii="Avenir Light" w:hAnsi="Avenir Light" w:eastAsia="Avenir Light" w:cs="Avenir Light"/>
          <w:b w:val="0"/>
          <w:i w:val="0"/>
          <w:color w:val="172126"/>
          <w:sz w:val="19"/>
        </w:rPr>
        <w:t xml:space="preserve"> kapsamında standart yöntemi seçer. Hidrojen ve sentez gazların aynı tesiste üretildiği durumda, işletme CO 2 emisyonlarını ya ilk iki paragrafta belirtildiği gibi hidrojen ve sentetik gaz için ayrı ayrı yöntemleri ya da bir ortak kütle dengesi kullanarak hesaplar.</w:t>
      </w:r>
    </w:p>
    <w:p>
      <w:pPr>
        <w:pStyle w:val="AnnexSubheading"/>
      </w:pPr>
      <w:r>
        <w:rPr>
          <w:rFonts w:ascii="Avenir Light" w:hAnsi="Avenir Light" w:eastAsia="Avenir Light" w:cs="Avenir Light"/>
          <w:b w:val="0"/>
          <w:i w:val="0"/>
          <w:color w:val="0D5F31"/>
          <w:sz w:val="21"/>
        </w:rPr>
        <w:t xml:space="preserve">20. Yönetmeliğin </w:t>
      </w:r>
      <w:hyperlink w:anchor="ek_1" w:history="1">
        <w:r>
          <w:rPr>
            <w:rFonts w:ascii="Avenir Light" w:hAnsi="Avenir Light" w:eastAsia="Avenir Light" w:cs="Avenir Light"/>
            <w:color w:val="188A42"/>
            <w:sz w:val="21"/>
            <w:szCs w:val="21"/>
          </w:rPr>
          <w:t xml:space="preserve">Ek-1</w:t>
        </w:r>
      </w:hyperlink>
      <w:r>
        <w:rPr>
          <w:rFonts w:ascii="Avenir Light" w:hAnsi="Avenir Light" w:eastAsia="Avenir Light" w:cs="Avenir Light"/>
          <w:b w:val="0"/>
          <w:i w:val="0"/>
          <w:color w:val="0D5F31"/>
          <w:sz w:val="21"/>
        </w:rPr>
        <w:t>’inde Listelenen Soda Külü ve Sodyum Bikarbonat Üretimi</w:t>
      </w:r>
    </w:p>
    <w:p>
      <w:pPr>
        <w:pStyle w:val="LegalList"/>
      </w:pPr>
      <w:r>
        <w:rPr>
          <w:rFonts w:ascii="Avenir Light" w:hAnsi="Avenir Light" w:eastAsia="Avenir Light" w:cs="Avenir Light"/>
          <w:b w:val="0"/>
          <w:i w:val="0"/>
          <w:color w:val="172126"/>
          <w:sz w:val="19"/>
        </w:rPr>
        <w:t>A) Kapsam Soda külü ve sodyum bikarbonat üretiminde tesislerden çıkan CO 2 emisyonları için emisyon kaynakları ve kaynak akışları aşağıdakileri içerir:</w:t>
      </w:r>
    </w:p>
    <w:p>
      <w:pPr>
        <w:pStyle w:val="LegalList"/>
      </w:pPr>
      <w:r>
        <w:rPr>
          <w:rFonts w:ascii="Avenir Light" w:hAnsi="Avenir Light" w:eastAsia="Avenir Light" w:cs="Avenir Light"/>
          <w:b w:val="0"/>
          <w:i w:val="0"/>
          <w:color w:val="172126"/>
          <w:sz w:val="19"/>
        </w:rPr>
        <w:t>(a) Sıcak su veya buhar üretmek amacı ile kullanılan yakıtları içeren, yanma prosesleri için kullanılan yakıtlar;</w:t>
      </w:r>
    </w:p>
    <w:p>
      <w:pPr>
        <w:pStyle w:val="LegalList"/>
      </w:pPr>
      <w:r>
        <w:rPr>
          <w:rFonts w:ascii="Avenir Light" w:hAnsi="Avenir Light" w:eastAsia="Avenir Light" w:cs="Avenir Light"/>
          <w:b w:val="0"/>
          <w:i w:val="0"/>
          <w:color w:val="172126"/>
          <w:sz w:val="19"/>
        </w:rPr>
        <w:t>(b) Karbonatlaştırma için kullanılmaması durumunda, kireç taşının kalsinasyonundan kaynaklanan havalandırma gazını içeren hammaddeler;</w:t>
      </w:r>
    </w:p>
    <w:p>
      <w:pPr>
        <w:pStyle w:val="LegalList"/>
      </w:pPr>
      <w:r>
        <w:rPr>
          <w:rFonts w:ascii="Avenir Light" w:hAnsi="Avenir Light" w:eastAsia="Avenir Light" w:cs="Avenir Light"/>
          <w:b w:val="0"/>
          <w:i w:val="0"/>
          <w:color w:val="172126"/>
          <w:sz w:val="19"/>
        </w:rPr>
        <w:t>(c) Karbonatlaştırma için kullanılmaması durumunda, karbonatlaştırmanın ardından yıkama veya filtreleme adımlarından kaynaklanan atık gazlar.</w:t>
      </w:r>
    </w:p>
    <w:p>
      <w:pPr>
        <w:pStyle w:val="LegalList"/>
      </w:pPr>
      <w:r>
        <w:rPr>
          <w:rFonts w:ascii="Avenir Light" w:hAnsi="Avenir Light" w:eastAsia="Avenir Light" w:cs="Avenir Light"/>
          <w:b w:val="0"/>
          <w:i w:val="0"/>
          <w:color w:val="172126"/>
          <w:sz w:val="19"/>
        </w:rPr>
        <w:t>B) Özel İzleme Kuralları Soda külü ve sodyum bikarbonat üretiminden kaynaklanan emisyonların izlenmesi için, işletme 24üncü madde ile bağlantılı olarak kütle dengesi yöntemini kullanır. İşletme, yanma proseslerinden kaynaklanan emisyonları, kütle dengesine dahil etmeyi veya boşluk olmasını veya emisyonların mükerrer sayımını önleyecek şekilde, asgari düzeyde kaynak akışlarının bir kısmı için 23üncü madde kapsamında standart yöntemi seçer. Soda külünün üretiminden kaynaklanan CO 2 ’nin sodyum bikarbonat üretimi için kullanıldığı durumda, sodyum külünden sodyum bikarbonat üretimi için kullanılan CO 2 miktarı CO 2 üreten tesisten salınmış olarak değerlendirilir. (Değişik:RG-5/2/2021-31386)</w:t>
      </w:r>
    </w:p>
    <w:p>
      <w:bookmarkStart w:id="76" w:name="ek_4"/>
      <w:pPr>
        <w:pStyle w:val="AnnexHeading"/>
      </w:pPr>
      <w:hyperlink w:anchor="ek_4" w:history="1">
        <w:r>
          <w:rPr>
            <w:rFonts w:ascii="Avenir Light" w:hAnsi="Avenir Light" w:eastAsia="Avenir Light" w:cs="Avenir Light"/>
            <w:color w:val="188A42"/>
            <w:sz w:val="28"/>
            <w:szCs w:val="28"/>
          </w:rPr>
          <w:t xml:space="preserve">EK-4</w:t>
        </w:r>
      </w:hyperlink>
      <w:bookmarkEnd w:id="76"/>
    </w:p>
    <w:p>
      <w:pPr>
        <w:pStyle w:val="AnnexTitle"/>
      </w:pPr>
      <w:r>
        <w:rPr>
          <w:rFonts w:ascii="Avenir Light" w:hAnsi="Avenir Light" w:eastAsia="Avenir Light" w:cs="Avenir Light"/>
          <w:b w:val="0"/>
          <w:i w:val="0"/>
          <w:color w:val="172126"/>
          <w:sz w:val="24"/>
        </w:rPr>
        <w:t>KATEGORİ A TESİSLERİNDE HESAPLAMA TEMELLİ YÖNTEMLERE VE</w:t>
      </w:r>
    </w:p>
    <w:p>
      <w:pPr>
        <w:pStyle w:val="AnnexTitle"/>
      </w:pPr>
      <w:r>
        <w:rPr>
          <w:rFonts w:ascii="Avenir Light" w:hAnsi="Avenir Light" w:eastAsia="Avenir Light" w:cs="Avenir Light"/>
          <w:b w:val="0"/>
          <w:i w:val="0"/>
          <w:color w:val="172126"/>
          <w:sz w:val="24"/>
        </w:rPr>
        <w:t>KATEGORİ B VE C TESİSLERİ TARAFINDAN KULLANILAN TİCARİ</w:t>
      </w:r>
    </w:p>
    <w:p>
      <w:pPr>
        <w:pStyle w:val="AnnexTitle"/>
      </w:pPr>
      <w:r>
        <w:rPr>
          <w:rFonts w:ascii="Avenir Light" w:hAnsi="Avenir Light" w:eastAsia="Avenir Light" w:cs="Avenir Light"/>
          <w:b w:val="0"/>
          <w:i w:val="0"/>
          <w:color w:val="172126"/>
          <w:sz w:val="24"/>
        </w:rPr>
        <w:t>STANDART YAKITLAR İÇİN HESAPLAMA FAKTÖRLERİNE İLİŞKİN</w:t>
      </w:r>
    </w:p>
    <w:p>
      <w:pPr>
        <w:pStyle w:val="AnnexTitle"/>
      </w:pPr>
      <w:r>
        <w:rPr>
          <w:rFonts w:ascii="Avenir Light" w:hAnsi="Avenir Light" w:eastAsia="Avenir Light" w:cs="Avenir Light"/>
          <w:b w:val="0"/>
          <w:i w:val="0"/>
          <w:color w:val="172126"/>
          <w:sz w:val="24"/>
        </w:rPr>
        <w:t>ASGARİ KADEME GEREKSİNİMLERİ</w:t>
      </w:r>
    </w:p>
    <w:p>
      <w:pPr>
        <w:pStyle w:val="ArticleText"/>
      </w:pPr>
      <w:r>
        <w:rPr>
          <w:rFonts w:ascii="Avenir Light" w:hAnsi="Avenir Light" w:eastAsia="Avenir Light" w:cs="Avenir Light"/>
          <w:b w:val="0"/>
          <w:i w:val="0"/>
          <w:color w:val="172126"/>
          <w:sz w:val="19"/>
        </w:rPr>
        <w:t>Tablo 4.1: Kategori A tesisleri ve 25inci maddenin birinci fıkrasının (a) bendi uyarınca tüm tesislerde tüketilen ticari standart yakıtların ilgili hesaplama faktörleri için hesaplama temelli yöntemlerde uygulanacak asgari kademeler (‘n.a’, ‘uygulanamaz/geçerli değil’ anlamına gelir)</w:t>
      </w:r>
    </w:p>
    <w:tbl>
      <w:tblPr>
        <w:tblStyle w:val="TableGrid"/>
        <w:tblW w:type="dxa" w:w="9864"/>
        <w:jc w:val="left"/>
        <w:tblLayout w:type="fixed"/>
        <w:tblLook w:firstColumn="1" w:firstRow="1" w:lastColumn="0" w:lastRow="0" w:noHBand="0" w:noVBand="1" w:val="04A0"/>
        <w:tblInd w:w="120" w:type="dxa"/>
      </w:tblPr>
      <w:tblGrid>
        <w:gridCol w:w="2573"/>
        <w:gridCol w:w="1394"/>
        <w:gridCol w:w="1019"/>
        <w:gridCol w:w="911"/>
        <w:gridCol w:w="1930"/>
        <w:gridCol w:w="1126"/>
        <w:gridCol w:w="911"/>
      </w:tblGrid>
      <w:tr>
        <w:trPr>
          <w:tblHeader/>
          <w:cantSplit/>
        </w:trPr>
        <w:tc>
          <w:tcPr>
            <w:tcW w:type="dxa" w:w="2573"/>
            <w:vAlign w:val="center"/>
            <w:shd w:fill="0D5F31"/>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FFFFFF"/>
                <w:sz w:val="14"/>
              </w:rPr>
              <w:t>Etkinlik / Kaynak Akışı Tipi</w:t>
            </w:r>
          </w:p>
        </w:tc>
        <w:tc>
          <w:tcPr>
            <w:tcW w:type="dxa" w:w="1394"/>
            <w:vAlign w:val="center"/>
            <w:shd w:fill="0D5F31"/>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FFFFFF"/>
                <w:sz w:val="14"/>
              </w:rPr>
              <w:t>Faaliyet Verisi</w:t>
            </w:r>
          </w:p>
        </w:tc>
        <w:tc>
          <w:tcPr>
            <w:tcW w:type="dxa" w:w="1019"/>
            <w:vAlign w:val="center"/>
            <w:shd w:fill="0D5F31"/>
            <w:tcMar>
              <w:top w:w="80" w:type="dxa"/>
              <w:start w:w="120" w:type="dxa"/>
              <w:bottom w:w="80" w:type="dxa"/>
              <w:end w:w="120" w:type="dxa"/>
            </w:tcMar>
          </w:tcPr>
          <w:p>
            <w:pPr>
              <w:spacing w:before="0" w:after="0" w:line="245" w:lineRule="auto"/>
              <w:jc w:val="center"/>
            </w:pPr>
          </w:p>
        </w:tc>
        <w:tc>
          <w:tcPr>
            <w:tcW w:type="dxa" w:w="911"/>
            <w:vAlign w:val="center"/>
            <w:shd w:fill="0D5F31"/>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FFFFFF"/>
                <w:sz w:val="14"/>
              </w:rPr>
              <w:t>Emisyo n Faktör ü</w:t>
            </w:r>
          </w:p>
        </w:tc>
        <w:tc>
          <w:tcPr>
            <w:tcW w:type="dxa" w:w="1930"/>
            <w:vAlign w:val="center"/>
            <w:shd w:fill="0D5F31"/>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FFFFFF"/>
                <w:sz w:val="14"/>
              </w:rPr>
              <w:t>Kompozisyo n Verisi (Karbon İçeriği)</w:t>
            </w:r>
          </w:p>
        </w:tc>
        <w:tc>
          <w:tcPr>
            <w:tcW w:type="dxa" w:w="1126"/>
            <w:vAlign w:val="center"/>
            <w:shd w:fill="0D5F31"/>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FFFFFF"/>
                <w:sz w:val="14"/>
              </w:rPr>
              <w:t>Yükseltgen me Faktörü</w:t>
            </w:r>
          </w:p>
        </w:tc>
        <w:tc>
          <w:tcPr>
            <w:tcW w:type="dxa" w:w="911"/>
            <w:vAlign w:val="center"/>
            <w:shd w:fill="0D5F31"/>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FFFFFF"/>
                <w:sz w:val="14"/>
              </w:rPr>
              <w:t>Dönüşü m Faktör ü</w:t>
            </w:r>
          </w:p>
        </w:tc>
      </w:tr>
      <w:tr>
        <w:trPr>
          <w:cantSplit/>
        </w:trPr>
        <w:tc>
          <w:tcPr>
            <w:tcW w:type="dxa" w:w="2573"/>
            <w:vAlign w:val="center"/>
            <w:shd w:fill="ECF6EF"/>
            <w:tcMar>
              <w:top w:w="80" w:type="dxa"/>
              <w:start w:w="120" w:type="dxa"/>
              <w:bottom w:w="80" w:type="dxa"/>
              <w:end w:w="120" w:type="dxa"/>
            </w:tcMar>
          </w:tcPr>
          <w:p>
            <w:pPr>
              <w:spacing w:before="0" w:after="0" w:line="245" w:lineRule="auto"/>
              <w:jc w:val="center"/>
            </w:pPr>
          </w:p>
        </w:tc>
        <w:tc>
          <w:tcPr>
            <w:tcW w:type="dxa" w:w="1394"/>
            <w:vAlign w:val="center"/>
            <w:shd w:fill="ECF6EF"/>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0D5F31"/>
                <w:sz w:val="14"/>
              </w:rPr>
              <w:t>Malzeme veya Yakıt Miktarı</w:t>
            </w:r>
          </w:p>
        </w:tc>
        <w:tc>
          <w:tcPr>
            <w:tcW w:type="dxa" w:w="1019"/>
            <w:vAlign w:val="center"/>
            <w:shd w:fill="ECF6EF"/>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0D5F31"/>
                <w:sz w:val="14"/>
              </w:rPr>
              <w:t>Net Kalorifik Değer</w:t>
            </w:r>
          </w:p>
        </w:tc>
        <w:tc>
          <w:tcPr>
            <w:tcW w:type="dxa" w:w="911"/>
            <w:vAlign w:val="center"/>
            <w:shd w:fill="ECF6EF"/>
            <w:tcMar>
              <w:top w:w="80" w:type="dxa"/>
              <w:start w:w="120" w:type="dxa"/>
              <w:bottom w:w="80" w:type="dxa"/>
              <w:end w:w="120" w:type="dxa"/>
            </w:tcMar>
          </w:tcPr>
          <w:p>
            <w:pPr>
              <w:spacing w:before="0" w:after="0" w:line="245" w:lineRule="auto"/>
              <w:jc w:val="center"/>
            </w:pPr>
          </w:p>
        </w:tc>
        <w:tc>
          <w:tcPr>
            <w:tcW w:type="dxa" w:w="1930"/>
            <w:vAlign w:val="center"/>
            <w:shd w:fill="ECF6EF"/>
            <w:tcMar>
              <w:top w:w="80" w:type="dxa"/>
              <w:start w:w="120" w:type="dxa"/>
              <w:bottom w:w="80" w:type="dxa"/>
              <w:end w:w="120" w:type="dxa"/>
            </w:tcMar>
          </w:tcPr>
          <w:p>
            <w:pPr>
              <w:spacing w:before="0" w:after="0" w:line="245" w:lineRule="auto"/>
              <w:jc w:val="center"/>
            </w:pPr>
          </w:p>
        </w:tc>
        <w:tc>
          <w:tcPr>
            <w:tcW w:type="dxa" w:w="1126"/>
            <w:vAlign w:val="center"/>
            <w:shd w:fill="ECF6EF"/>
            <w:tcMar>
              <w:top w:w="80" w:type="dxa"/>
              <w:start w:w="120" w:type="dxa"/>
              <w:bottom w:w="80" w:type="dxa"/>
              <w:end w:w="120" w:type="dxa"/>
            </w:tcMar>
          </w:tcPr>
          <w:p>
            <w:pPr>
              <w:spacing w:before="0" w:after="0" w:line="245" w:lineRule="auto"/>
              <w:jc w:val="center"/>
            </w:pPr>
          </w:p>
        </w:tc>
        <w:tc>
          <w:tcPr>
            <w:tcW w:type="dxa" w:w="911"/>
            <w:vAlign w:val="center"/>
            <w:shd w:fill="ECF6EF"/>
            <w:tcMar>
              <w:top w:w="80" w:type="dxa"/>
              <w:start w:w="120" w:type="dxa"/>
              <w:bottom w:w="80" w:type="dxa"/>
              <w:end w:w="120" w:type="dxa"/>
            </w:tcMar>
          </w:tcPr>
          <w:p>
            <w:pPr>
              <w:spacing w:before="0" w:after="0" w:line="245" w:lineRule="auto"/>
              <w:jc w:val="center"/>
            </w:pPr>
          </w:p>
        </w:tc>
      </w:tr>
      <w:tr>
        <w:trPr>
          <w:cantSplit/>
        </w:trPr>
        <w:tc>
          <w:tcPr>
            <w:tcW w:type="dxa" w:w="2573"/>
            <w:vAlign w:val="center"/>
            <w:shd w:fill="ECF6EF"/>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0D5F31"/>
                <w:sz w:val="14"/>
              </w:rPr>
              <w:t>Yakıtların Yanması</w:t>
            </w:r>
          </w:p>
        </w:tc>
        <w:tc>
          <w:tcPr>
            <w:tcW w:type="dxa" w:w="1394"/>
            <w:vAlign w:val="center"/>
            <w:tcMar>
              <w:top w:w="80" w:type="dxa"/>
              <w:start w:w="120" w:type="dxa"/>
              <w:bottom w:w="80" w:type="dxa"/>
              <w:end w:w="120" w:type="dxa"/>
            </w:tcMar>
          </w:tcPr>
          <w:p>
            <w:pPr>
              <w:spacing w:before="0" w:after="0" w:line="245" w:lineRule="auto"/>
            </w:pPr>
          </w:p>
        </w:tc>
        <w:tc>
          <w:tcPr>
            <w:tcW w:type="dxa" w:w="1019"/>
            <w:vAlign w:val="center"/>
            <w:tcMar>
              <w:top w:w="80" w:type="dxa"/>
              <w:start w:w="120" w:type="dxa"/>
              <w:bottom w:w="80" w:type="dxa"/>
              <w:end w:w="120" w:type="dxa"/>
            </w:tcMar>
          </w:tcPr>
          <w:p>
            <w:pPr>
              <w:spacing w:before="0" w:after="0" w:line="245" w:lineRule="auto"/>
            </w:pPr>
          </w:p>
        </w:tc>
        <w:tc>
          <w:tcPr>
            <w:tcW w:type="dxa" w:w="911"/>
            <w:vAlign w:val="center"/>
            <w:tcMar>
              <w:top w:w="80" w:type="dxa"/>
              <w:start w:w="120" w:type="dxa"/>
              <w:bottom w:w="80" w:type="dxa"/>
              <w:end w:w="120" w:type="dxa"/>
            </w:tcMar>
          </w:tcPr>
          <w:p>
            <w:pPr>
              <w:spacing w:before="0" w:after="0" w:line="245" w:lineRule="auto"/>
            </w:pPr>
          </w:p>
        </w:tc>
        <w:tc>
          <w:tcPr>
            <w:tcW w:type="dxa" w:w="1930"/>
            <w:vAlign w:val="center"/>
            <w:tcMar>
              <w:top w:w="80" w:type="dxa"/>
              <w:start w:w="120" w:type="dxa"/>
              <w:bottom w:w="80" w:type="dxa"/>
              <w:end w:w="120" w:type="dxa"/>
            </w:tcMar>
          </w:tcPr>
          <w:p>
            <w:pPr>
              <w:spacing w:before="0" w:after="0" w:line="245" w:lineRule="auto"/>
            </w:pPr>
          </w:p>
        </w:tc>
        <w:tc>
          <w:tcPr>
            <w:tcW w:type="dxa" w:w="1126"/>
            <w:vAlign w:val="center"/>
            <w:tcMar>
              <w:top w:w="80" w:type="dxa"/>
              <w:start w:w="120" w:type="dxa"/>
              <w:bottom w:w="80" w:type="dxa"/>
              <w:end w:w="120" w:type="dxa"/>
            </w:tcMar>
          </w:tcPr>
          <w:p>
            <w:pPr>
              <w:spacing w:before="0" w:after="0" w:line="245" w:lineRule="auto"/>
            </w:pPr>
          </w:p>
        </w:tc>
        <w:tc>
          <w:tcPr>
            <w:tcW w:type="dxa" w:w="911"/>
            <w:vAlign w:val="center"/>
            <w:tcMar>
              <w:top w:w="80" w:type="dxa"/>
              <w:start w:w="120" w:type="dxa"/>
              <w:bottom w:w="80" w:type="dxa"/>
              <w:end w:w="120" w:type="dxa"/>
            </w:tcMar>
          </w:tcPr>
          <w:p>
            <w:pPr>
              <w:spacing w:before="0" w:after="0" w:line="245" w:lineRule="auto"/>
            </w:pPr>
          </w:p>
        </w:tc>
      </w:tr>
      <w:tr>
        <w:trPr>
          <w:cantSplit/>
        </w:trPr>
        <w:tc>
          <w:tcPr>
            <w:tcW w:type="dxa" w:w="2573"/>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Ticari standart yakıtlar</w:t>
            </w:r>
          </w:p>
        </w:tc>
        <w:tc>
          <w:tcPr>
            <w:tcW w:type="dxa" w:w="1394"/>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2</w:t>
            </w:r>
          </w:p>
        </w:tc>
        <w:tc>
          <w:tcPr>
            <w:tcW w:type="dxa" w:w="1019"/>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2a/2b</w:t>
            </w:r>
          </w:p>
        </w:tc>
        <w:tc>
          <w:tcPr>
            <w:tcW w:type="dxa" w:w="91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2a/2b</w:t>
            </w:r>
          </w:p>
        </w:tc>
        <w:tc>
          <w:tcPr>
            <w:tcW w:type="dxa" w:w="193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112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1</w:t>
            </w:r>
          </w:p>
        </w:tc>
        <w:tc>
          <w:tcPr>
            <w:tcW w:type="dxa" w:w="91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r>
      <w:tr>
        <w:trPr>
          <w:cantSplit/>
        </w:trPr>
        <w:tc>
          <w:tcPr>
            <w:tcW w:type="dxa" w:w="2573"/>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Diğer gaz &amp; sıvı yakıtlar</w:t>
            </w:r>
          </w:p>
        </w:tc>
        <w:tc>
          <w:tcPr>
            <w:tcW w:type="dxa" w:w="1394"/>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2</w:t>
            </w:r>
          </w:p>
        </w:tc>
        <w:tc>
          <w:tcPr>
            <w:tcW w:type="dxa" w:w="1019"/>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2a/2b</w:t>
            </w:r>
          </w:p>
        </w:tc>
        <w:tc>
          <w:tcPr>
            <w:tcW w:type="dxa" w:w="91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2a/2b</w:t>
            </w:r>
          </w:p>
        </w:tc>
        <w:tc>
          <w:tcPr>
            <w:tcW w:type="dxa" w:w="193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112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1</w:t>
            </w:r>
          </w:p>
        </w:tc>
        <w:tc>
          <w:tcPr>
            <w:tcW w:type="dxa" w:w="91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r>
      <w:tr>
        <w:trPr>
          <w:cantSplit/>
        </w:trPr>
        <w:tc>
          <w:tcPr>
            <w:tcW w:type="dxa" w:w="2573"/>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Katı yakıtlar</w:t>
            </w:r>
          </w:p>
        </w:tc>
        <w:tc>
          <w:tcPr>
            <w:tcW w:type="dxa" w:w="1394"/>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1</w:t>
            </w:r>
          </w:p>
        </w:tc>
        <w:tc>
          <w:tcPr>
            <w:tcW w:type="dxa" w:w="1019"/>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2a/2b</w:t>
            </w:r>
          </w:p>
        </w:tc>
        <w:tc>
          <w:tcPr>
            <w:tcW w:type="dxa" w:w="91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2a/2b</w:t>
            </w:r>
          </w:p>
        </w:tc>
        <w:tc>
          <w:tcPr>
            <w:tcW w:type="dxa" w:w="193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112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1</w:t>
            </w:r>
          </w:p>
        </w:tc>
        <w:tc>
          <w:tcPr>
            <w:tcW w:type="dxa" w:w="91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r>
      <w:tr>
        <w:trPr>
          <w:cantSplit/>
        </w:trPr>
        <w:tc>
          <w:tcPr>
            <w:tcW w:type="dxa" w:w="2573"/>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Gaz işleme terminalleri için kütle denge yöntemi</w:t>
            </w:r>
          </w:p>
        </w:tc>
        <w:tc>
          <w:tcPr>
            <w:tcW w:type="dxa" w:w="1394"/>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1</w:t>
            </w:r>
          </w:p>
        </w:tc>
        <w:tc>
          <w:tcPr>
            <w:tcW w:type="dxa" w:w="1019"/>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91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193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1</w:t>
            </w:r>
          </w:p>
        </w:tc>
        <w:tc>
          <w:tcPr>
            <w:tcW w:type="dxa" w:w="112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91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r>
      <w:tr>
        <w:trPr>
          <w:cantSplit/>
        </w:trPr>
        <w:tc>
          <w:tcPr>
            <w:tcW w:type="dxa" w:w="2573"/>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Alevleme bacaları</w:t>
            </w:r>
          </w:p>
        </w:tc>
        <w:tc>
          <w:tcPr>
            <w:tcW w:type="dxa" w:w="1394"/>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1</w:t>
            </w:r>
          </w:p>
        </w:tc>
        <w:tc>
          <w:tcPr>
            <w:tcW w:type="dxa" w:w="1019"/>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91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1</w:t>
            </w:r>
          </w:p>
        </w:tc>
        <w:tc>
          <w:tcPr>
            <w:tcW w:type="dxa" w:w="193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112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1</w:t>
            </w:r>
          </w:p>
        </w:tc>
        <w:tc>
          <w:tcPr>
            <w:tcW w:type="dxa" w:w="91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r>
      <w:tr>
        <w:trPr>
          <w:cantSplit/>
        </w:trPr>
        <w:tc>
          <w:tcPr>
            <w:tcW w:type="dxa" w:w="2573"/>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Yıkama (karbonat)</w:t>
            </w:r>
          </w:p>
        </w:tc>
        <w:tc>
          <w:tcPr>
            <w:tcW w:type="dxa" w:w="1394"/>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1</w:t>
            </w:r>
          </w:p>
        </w:tc>
        <w:tc>
          <w:tcPr>
            <w:tcW w:type="dxa" w:w="1019"/>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91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1</w:t>
            </w:r>
          </w:p>
        </w:tc>
        <w:tc>
          <w:tcPr>
            <w:tcW w:type="dxa" w:w="193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112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91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r>
      <w:tr>
        <w:trPr>
          <w:cantSplit/>
        </w:trPr>
        <w:tc>
          <w:tcPr>
            <w:tcW w:type="dxa" w:w="2573"/>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Yıkama (alçı taşı)</w:t>
            </w:r>
          </w:p>
        </w:tc>
        <w:tc>
          <w:tcPr>
            <w:tcW w:type="dxa" w:w="1394"/>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1</w:t>
            </w:r>
          </w:p>
        </w:tc>
        <w:tc>
          <w:tcPr>
            <w:tcW w:type="dxa" w:w="1019"/>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91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1</w:t>
            </w:r>
          </w:p>
        </w:tc>
        <w:tc>
          <w:tcPr>
            <w:tcW w:type="dxa" w:w="193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112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91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r>
      <w:tr>
        <w:trPr>
          <w:cantSplit/>
        </w:trPr>
        <w:tc>
          <w:tcPr>
            <w:tcW w:type="dxa" w:w="2573"/>
            <w:vAlign w:val="center"/>
            <w:shd w:fill="ECF6EF"/>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0D5F31"/>
                <w:sz w:val="14"/>
              </w:rPr>
              <w:t>Petrol Rafinasyonu</w:t>
            </w:r>
          </w:p>
        </w:tc>
        <w:tc>
          <w:tcPr>
            <w:tcW w:type="dxa" w:w="1394"/>
            <w:vAlign w:val="center"/>
            <w:tcMar>
              <w:top w:w="80" w:type="dxa"/>
              <w:start w:w="120" w:type="dxa"/>
              <w:bottom w:w="80" w:type="dxa"/>
              <w:end w:w="120" w:type="dxa"/>
            </w:tcMar>
          </w:tcPr>
          <w:p>
            <w:pPr>
              <w:spacing w:before="0" w:after="0" w:line="245" w:lineRule="auto"/>
            </w:pPr>
          </w:p>
        </w:tc>
        <w:tc>
          <w:tcPr>
            <w:tcW w:type="dxa" w:w="1019"/>
            <w:vAlign w:val="center"/>
            <w:tcMar>
              <w:top w:w="80" w:type="dxa"/>
              <w:start w:w="120" w:type="dxa"/>
              <w:bottom w:w="80" w:type="dxa"/>
              <w:end w:w="120" w:type="dxa"/>
            </w:tcMar>
          </w:tcPr>
          <w:p>
            <w:pPr>
              <w:spacing w:before="0" w:after="0" w:line="245" w:lineRule="auto"/>
            </w:pPr>
          </w:p>
        </w:tc>
        <w:tc>
          <w:tcPr>
            <w:tcW w:type="dxa" w:w="911"/>
            <w:vAlign w:val="center"/>
            <w:tcMar>
              <w:top w:w="80" w:type="dxa"/>
              <w:start w:w="120" w:type="dxa"/>
              <w:bottom w:w="80" w:type="dxa"/>
              <w:end w:w="120" w:type="dxa"/>
            </w:tcMar>
          </w:tcPr>
          <w:p>
            <w:pPr>
              <w:spacing w:before="0" w:after="0" w:line="245" w:lineRule="auto"/>
            </w:pPr>
          </w:p>
        </w:tc>
        <w:tc>
          <w:tcPr>
            <w:tcW w:type="dxa" w:w="1930"/>
            <w:vAlign w:val="center"/>
            <w:tcMar>
              <w:top w:w="80" w:type="dxa"/>
              <w:start w:w="120" w:type="dxa"/>
              <w:bottom w:w="80" w:type="dxa"/>
              <w:end w:w="120" w:type="dxa"/>
            </w:tcMar>
          </w:tcPr>
          <w:p>
            <w:pPr>
              <w:spacing w:before="0" w:after="0" w:line="245" w:lineRule="auto"/>
            </w:pPr>
          </w:p>
        </w:tc>
        <w:tc>
          <w:tcPr>
            <w:tcW w:type="dxa" w:w="1126"/>
            <w:vAlign w:val="center"/>
            <w:tcMar>
              <w:top w:w="80" w:type="dxa"/>
              <w:start w:w="120" w:type="dxa"/>
              <w:bottom w:w="80" w:type="dxa"/>
              <w:end w:w="120" w:type="dxa"/>
            </w:tcMar>
          </w:tcPr>
          <w:p>
            <w:pPr>
              <w:spacing w:before="0" w:after="0" w:line="245" w:lineRule="auto"/>
            </w:pPr>
          </w:p>
        </w:tc>
        <w:tc>
          <w:tcPr>
            <w:tcW w:type="dxa" w:w="911"/>
            <w:vAlign w:val="center"/>
            <w:tcMar>
              <w:top w:w="80" w:type="dxa"/>
              <w:start w:w="120" w:type="dxa"/>
              <w:bottom w:w="80" w:type="dxa"/>
              <w:end w:w="120" w:type="dxa"/>
            </w:tcMar>
          </w:tcPr>
          <w:p>
            <w:pPr>
              <w:spacing w:before="0" w:after="0" w:line="245" w:lineRule="auto"/>
            </w:pPr>
          </w:p>
        </w:tc>
      </w:tr>
      <w:tr>
        <w:trPr>
          <w:cantSplit/>
        </w:trPr>
        <w:tc>
          <w:tcPr>
            <w:tcW w:type="dxa" w:w="2573"/>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Katalitik kırılma rejenerasyonu</w:t>
            </w:r>
          </w:p>
        </w:tc>
        <w:tc>
          <w:tcPr>
            <w:tcW w:type="dxa" w:w="1394"/>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1</w:t>
            </w:r>
          </w:p>
        </w:tc>
        <w:tc>
          <w:tcPr>
            <w:tcW w:type="dxa" w:w="1019"/>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91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193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112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91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r>
      <w:tr>
        <w:trPr>
          <w:cantSplit/>
        </w:trPr>
        <w:tc>
          <w:tcPr>
            <w:tcW w:type="dxa" w:w="2573"/>
            <w:vAlign w:val="center"/>
            <w:shd w:fill="ECF6EF"/>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0D5F31"/>
                <w:sz w:val="14"/>
              </w:rPr>
              <w:t>Kok Üretimi</w:t>
            </w:r>
          </w:p>
        </w:tc>
        <w:tc>
          <w:tcPr>
            <w:tcW w:type="dxa" w:w="1394"/>
            <w:vAlign w:val="center"/>
            <w:tcMar>
              <w:top w:w="80" w:type="dxa"/>
              <w:start w:w="120" w:type="dxa"/>
              <w:bottom w:w="80" w:type="dxa"/>
              <w:end w:w="120" w:type="dxa"/>
            </w:tcMar>
          </w:tcPr>
          <w:p>
            <w:pPr>
              <w:spacing w:before="0" w:after="0" w:line="245" w:lineRule="auto"/>
            </w:pPr>
          </w:p>
        </w:tc>
        <w:tc>
          <w:tcPr>
            <w:tcW w:type="dxa" w:w="1019"/>
            <w:vAlign w:val="center"/>
            <w:tcMar>
              <w:top w:w="80" w:type="dxa"/>
              <w:start w:w="120" w:type="dxa"/>
              <w:bottom w:w="80" w:type="dxa"/>
              <w:end w:w="120" w:type="dxa"/>
            </w:tcMar>
          </w:tcPr>
          <w:p>
            <w:pPr>
              <w:spacing w:before="0" w:after="0" w:line="245" w:lineRule="auto"/>
            </w:pPr>
          </w:p>
        </w:tc>
        <w:tc>
          <w:tcPr>
            <w:tcW w:type="dxa" w:w="911"/>
            <w:vAlign w:val="center"/>
            <w:tcMar>
              <w:top w:w="80" w:type="dxa"/>
              <w:start w:w="120" w:type="dxa"/>
              <w:bottom w:w="80" w:type="dxa"/>
              <w:end w:w="120" w:type="dxa"/>
            </w:tcMar>
          </w:tcPr>
          <w:p>
            <w:pPr>
              <w:spacing w:before="0" w:after="0" w:line="245" w:lineRule="auto"/>
            </w:pPr>
          </w:p>
        </w:tc>
        <w:tc>
          <w:tcPr>
            <w:tcW w:type="dxa" w:w="1930"/>
            <w:vAlign w:val="center"/>
            <w:tcMar>
              <w:top w:w="80" w:type="dxa"/>
              <w:start w:w="120" w:type="dxa"/>
              <w:bottom w:w="80" w:type="dxa"/>
              <w:end w:w="120" w:type="dxa"/>
            </w:tcMar>
          </w:tcPr>
          <w:p>
            <w:pPr>
              <w:spacing w:before="0" w:after="0" w:line="245" w:lineRule="auto"/>
            </w:pPr>
          </w:p>
        </w:tc>
        <w:tc>
          <w:tcPr>
            <w:tcW w:type="dxa" w:w="1126"/>
            <w:vAlign w:val="center"/>
            <w:tcMar>
              <w:top w:w="80" w:type="dxa"/>
              <w:start w:w="120" w:type="dxa"/>
              <w:bottom w:w="80" w:type="dxa"/>
              <w:end w:w="120" w:type="dxa"/>
            </w:tcMar>
          </w:tcPr>
          <w:p>
            <w:pPr>
              <w:spacing w:before="0" w:after="0" w:line="245" w:lineRule="auto"/>
            </w:pPr>
          </w:p>
        </w:tc>
        <w:tc>
          <w:tcPr>
            <w:tcW w:type="dxa" w:w="911"/>
            <w:vAlign w:val="center"/>
            <w:tcMar>
              <w:top w:w="80" w:type="dxa"/>
              <w:start w:w="120" w:type="dxa"/>
              <w:bottom w:w="80" w:type="dxa"/>
              <w:end w:w="120" w:type="dxa"/>
            </w:tcMar>
          </w:tcPr>
          <w:p>
            <w:pPr>
              <w:spacing w:before="0" w:after="0" w:line="245" w:lineRule="auto"/>
            </w:pPr>
          </w:p>
        </w:tc>
      </w:tr>
      <w:tr>
        <w:trPr>
          <w:cantSplit/>
        </w:trPr>
        <w:tc>
          <w:tcPr>
            <w:tcW w:type="dxa" w:w="2573"/>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Kütle dengesi</w:t>
            </w:r>
          </w:p>
        </w:tc>
        <w:tc>
          <w:tcPr>
            <w:tcW w:type="dxa" w:w="1394"/>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1</w:t>
            </w:r>
          </w:p>
        </w:tc>
        <w:tc>
          <w:tcPr>
            <w:tcW w:type="dxa" w:w="1019"/>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91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193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2</w:t>
            </w:r>
          </w:p>
        </w:tc>
        <w:tc>
          <w:tcPr>
            <w:tcW w:type="dxa" w:w="112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91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r>
      <w:tr>
        <w:trPr>
          <w:cantSplit/>
        </w:trPr>
        <w:tc>
          <w:tcPr>
            <w:tcW w:type="dxa" w:w="2573"/>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İşlem girdisi olarak yakıt</w:t>
            </w:r>
          </w:p>
        </w:tc>
        <w:tc>
          <w:tcPr>
            <w:tcW w:type="dxa" w:w="1394"/>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1</w:t>
            </w:r>
          </w:p>
        </w:tc>
        <w:tc>
          <w:tcPr>
            <w:tcW w:type="dxa" w:w="1019"/>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2</w:t>
            </w:r>
          </w:p>
        </w:tc>
        <w:tc>
          <w:tcPr>
            <w:tcW w:type="dxa" w:w="91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2</w:t>
            </w:r>
          </w:p>
        </w:tc>
        <w:tc>
          <w:tcPr>
            <w:tcW w:type="dxa" w:w="193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112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91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r>
    </w:tbl>
    <w:tbl>
      <w:tblPr>
        <w:tblStyle w:val="TableGrid"/>
        <w:tblW w:type="dxa" w:w="9864"/>
        <w:jc w:val="left"/>
        <w:tblLayout w:type="fixed"/>
        <w:tblLook w:firstColumn="1" w:firstRow="1" w:lastColumn="0" w:lastRow="0" w:noHBand="0" w:noVBand="1" w:val="04A0"/>
        <w:tblInd w:w="120" w:type="dxa"/>
      </w:tblPr>
      <w:tblGrid>
        <w:gridCol w:w="4716"/>
        <w:gridCol w:w="858"/>
        <w:gridCol w:w="858"/>
        <w:gridCol w:w="858"/>
        <w:gridCol w:w="858"/>
        <w:gridCol w:w="858"/>
        <w:gridCol w:w="858"/>
      </w:tblGrid>
      <w:tr>
        <w:trPr>
          <w:tblHeader/>
          <w:cantSplit/>
        </w:trPr>
        <w:tc>
          <w:tcPr>
            <w:tcW w:type="dxa" w:w="4716"/>
            <w:vAlign w:val="center"/>
            <w:shd w:fill="0D5F31"/>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FFFFFF"/>
                <w:sz w:val="14"/>
              </w:rPr>
              <w:t>Metal Cevherinin Kavrulması &amp; Sinterlenmesi</w:t>
            </w:r>
          </w:p>
        </w:tc>
        <w:tc>
          <w:tcPr>
            <w:tcW w:type="dxa" w:w="858"/>
            <w:vAlign w:val="center"/>
            <w:shd w:fill="0D5F31"/>
            <w:tcMar>
              <w:top w:w="80" w:type="dxa"/>
              <w:start w:w="120" w:type="dxa"/>
              <w:bottom w:w="80" w:type="dxa"/>
              <w:end w:w="120" w:type="dxa"/>
            </w:tcMar>
          </w:tcPr>
          <w:p>
            <w:pPr>
              <w:spacing w:before="0" w:after="0" w:line="245" w:lineRule="auto"/>
              <w:jc w:val="center"/>
            </w:pPr>
          </w:p>
        </w:tc>
        <w:tc>
          <w:tcPr>
            <w:tcW w:type="dxa" w:w="858"/>
            <w:vAlign w:val="center"/>
            <w:shd w:fill="0D5F31"/>
            <w:tcMar>
              <w:top w:w="80" w:type="dxa"/>
              <w:start w:w="120" w:type="dxa"/>
              <w:bottom w:w="80" w:type="dxa"/>
              <w:end w:w="120" w:type="dxa"/>
            </w:tcMar>
          </w:tcPr>
          <w:p>
            <w:pPr>
              <w:spacing w:before="0" w:after="0" w:line="245" w:lineRule="auto"/>
              <w:jc w:val="center"/>
            </w:pPr>
          </w:p>
        </w:tc>
        <w:tc>
          <w:tcPr>
            <w:tcW w:type="dxa" w:w="858"/>
            <w:vAlign w:val="center"/>
            <w:shd w:fill="0D5F31"/>
            <w:tcMar>
              <w:top w:w="80" w:type="dxa"/>
              <w:start w:w="120" w:type="dxa"/>
              <w:bottom w:w="80" w:type="dxa"/>
              <w:end w:w="120" w:type="dxa"/>
            </w:tcMar>
          </w:tcPr>
          <w:p>
            <w:pPr>
              <w:spacing w:before="0" w:after="0" w:line="245" w:lineRule="auto"/>
              <w:jc w:val="center"/>
            </w:pPr>
          </w:p>
        </w:tc>
        <w:tc>
          <w:tcPr>
            <w:tcW w:type="dxa" w:w="858"/>
            <w:vAlign w:val="center"/>
            <w:shd w:fill="0D5F31"/>
            <w:tcMar>
              <w:top w:w="80" w:type="dxa"/>
              <w:start w:w="120" w:type="dxa"/>
              <w:bottom w:w="80" w:type="dxa"/>
              <w:end w:w="120" w:type="dxa"/>
            </w:tcMar>
          </w:tcPr>
          <w:p>
            <w:pPr>
              <w:spacing w:before="0" w:after="0" w:line="245" w:lineRule="auto"/>
              <w:jc w:val="center"/>
            </w:pPr>
          </w:p>
        </w:tc>
        <w:tc>
          <w:tcPr>
            <w:tcW w:type="dxa" w:w="858"/>
            <w:vAlign w:val="center"/>
            <w:shd w:fill="0D5F31"/>
            <w:tcMar>
              <w:top w:w="80" w:type="dxa"/>
              <w:start w:w="120" w:type="dxa"/>
              <w:bottom w:w="80" w:type="dxa"/>
              <w:end w:w="120" w:type="dxa"/>
            </w:tcMar>
          </w:tcPr>
          <w:p>
            <w:pPr>
              <w:spacing w:before="0" w:after="0" w:line="245" w:lineRule="auto"/>
              <w:jc w:val="center"/>
            </w:pPr>
          </w:p>
        </w:tc>
        <w:tc>
          <w:tcPr>
            <w:tcW w:type="dxa" w:w="858"/>
            <w:vAlign w:val="center"/>
            <w:shd w:fill="0D5F31"/>
            <w:tcMar>
              <w:top w:w="80" w:type="dxa"/>
              <w:start w:w="120" w:type="dxa"/>
              <w:bottom w:w="80" w:type="dxa"/>
              <w:end w:w="120" w:type="dxa"/>
            </w:tcMar>
          </w:tcPr>
          <w:p>
            <w:pPr>
              <w:spacing w:before="0" w:after="0" w:line="245" w:lineRule="auto"/>
              <w:jc w:val="center"/>
            </w:pPr>
          </w:p>
        </w:tc>
      </w:tr>
      <w:tr>
        <w:trPr>
          <w:cantSplit/>
        </w:trPr>
        <w:tc>
          <w:tcPr>
            <w:tcW w:type="dxa" w:w="4716"/>
            <w:vAlign w:val="center"/>
            <w:shd w:fill="ECF6EF"/>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0D5F31"/>
                <w:sz w:val="14"/>
              </w:rPr>
              <w:t>Kütle dengesi</w:t>
            </w:r>
          </w:p>
        </w:tc>
        <w:tc>
          <w:tcPr>
            <w:tcW w:type="dxa" w:w="858"/>
            <w:vAlign w:val="center"/>
            <w:shd w:fill="ECF6EF"/>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0D5F31"/>
                <w:sz w:val="14"/>
              </w:rPr>
              <w:t>1</w:t>
            </w:r>
          </w:p>
        </w:tc>
        <w:tc>
          <w:tcPr>
            <w:tcW w:type="dxa" w:w="858"/>
            <w:vAlign w:val="center"/>
            <w:shd w:fill="ECF6EF"/>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0D5F31"/>
                <w:sz w:val="14"/>
              </w:rPr>
              <w:t>n.a.</w:t>
            </w:r>
          </w:p>
        </w:tc>
        <w:tc>
          <w:tcPr>
            <w:tcW w:type="dxa" w:w="858"/>
            <w:vAlign w:val="center"/>
            <w:shd w:fill="ECF6EF"/>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0D5F31"/>
                <w:sz w:val="14"/>
              </w:rPr>
              <w:t>n.a.</w:t>
            </w:r>
          </w:p>
        </w:tc>
        <w:tc>
          <w:tcPr>
            <w:tcW w:type="dxa" w:w="858"/>
            <w:vAlign w:val="center"/>
            <w:shd w:fill="ECF6EF"/>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0D5F31"/>
                <w:sz w:val="14"/>
              </w:rPr>
              <w:t>2</w:t>
            </w:r>
          </w:p>
        </w:tc>
        <w:tc>
          <w:tcPr>
            <w:tcW w:type="dxa" w:w="858"/>
            <w:vAlign w:val="center"/>
            <w:shd w:fill="ECF6EF"/>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0D5F31"/>
                <w:sz w:val="14"/>
              </w:rPr>
              <w:t>n.a.</w:t>
            </w:r>
          </w:p>
        </w:tc>
        <w:tc>
          <w:tcPr>
            <w:tcW w:type="dxa" w:w="858"/>
            <w:vAlign w:val="center"/>
            <w:shd w:fill="ECF6EF"/>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0D5F31"/>
                <w:sz w:val="14"/>
              </w:rPr>
              <w:t>n.a.</w:t>
            </w:r>
          </w:p>
        </w:tc>
      </w:tr>
      <w:tr>
        <w:trPr>
          <w:cantSplit/>
        </w:trPr>
        <w:tc>
          <w:tcPr>
            <w:tcW w:type="dxa" w:w="471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Karbonat girdisi</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1</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1</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1</w:t>
            </w:r>
          </w:p>
        </w:tc>
      </w:tr>
      <w:tr>
        <w:trPr>
          <w:cantSplit/>
        </w:trPr>
        <w:tc>
          <w:tcPr>
            <w:tcW w:type="dxa" w:w="4716"/>
            <w:vAlign w:val="center"/>
            <w:shd w:fill="ECF6EF"/>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0D5F31"/>
                <w:sz w:val="14"/>
              </w:rPr>
              <w:t>Demir &amp; Çelik Üretimi</w:t>
            </w:r>
          </w:p>
        </w:tc>
        <w:tc>
          <w:tcPr>
            <w:tcW w:type="dxa" w:w="858"/>
            <w:vAlign w:val="center"/>
            <w:tcMar>
              <w:top w:w="80" w:type="dxa"/>
              <w:start w:w="120" w:type="dxa"/>
              <w:bottom w:w="80" w:type="dxa"/>
              <w:end w:w="120" w:type="dxa"/>
            </w:tcMar>
          </w:tcPr>
          <w:p>
            <w:pPr>
              <w:spacing w:before="0" w:after="0" w:line="245" w:lineRule="auto"/>
            </w:pPr>
          </w:p>
        </w:tc>
        <w:tc>
          <w:tcPr>
            <w:tcW w:type="dxa" w:w="858"/>
            <w:vAlign w:val="center"/>
            <w:tcMar>
              <w:top w:w="80" w:type="dxa"/>
              <w:start w:w="120" w:type="dxa"/>
              <w:bottom w:w="80" w:type="dxa"/>
              <w:end w:w="120" w:type="dxa"/>
            </w:tcMar>
          </w:tcPr>
          <w:p>
            <w:pPr>
              <w:spacing w:before="0" w:after="0" w:line="245" w:lineRule="auto"/>
            </w:pPr>
          </w:p>
        </w:tc>
        <w:tc>
          <w:tcPr>
            <w:tcW w:type="dxa" w:w="858"/>
            <w:vAlign w:val="center"/>
            <w:tcMar>
              <w:top w:w="80" w:type="dxa"/>
              <w:start w:w="120" w:type="dxa"/>
              <w:bottom w:w="80" w:type="dxa"/>
              <w:end w:w="120" w:type="dxa"/>
            </w:tcMar>
          </w:tcPr>
          <w:p>
            <w:pPr>
              <w:spacing w:before="0" w:after="0" w:line="245" w:lineRule="auto"/>
            </w:pPr>
          </w:p>
        </w:tc>
        <w:tc>
          <w:tcPr>
            <w:tcW w:type="dxa" w:w="858"/>
            <w:vAlign w:val="center"/>
            <w:tcMar>
              <w:top w:w="80" w:type="dxa"/>
              <w:start w:w="120" w:type="dxa"/>
              <w:bottom w:w="80" w:type="dxa"/>
              <w:end w:w="120" w:type="dxa"/>
            </w:tcMar>
          </w:tcPr>
          <w:p>
            <w:pPr>
              <w:spacing w:before="0" w:after="0" w:line="245" w:lineRule="auto"/>
            </w:pPr>
          </w:p>
        </w:tc>
        <w:tc>
          <w:tcPr>
            <w:tcW w:type="dxa" w:w="858"/>
            <w:vAlign w:val="center"/>
            <w:tcMar>
              <w:top w:w="80" w:type="dxa"/>
              <w:start w:w="120" w:type="dxa"/>
              <w:bottom w:w="80" w:type="dxa"/>
              <w:end w:w="120" w:type="dxa"/>
            </w:tcMar>
          </w:tcPr>
          <w:p>
            <w:pPr>
              <w:spacing w:before="0" w:after="0" w:line="245" w:lineRule="auto"/>
            </w:pPr>
          </w:p>
        </w:tc>
        <w:tc>
          <w:tcPr>
            <w:tcW w:type="dxa" w:w="858"/>
            <w:vAlign w:val="center"/>
            <w:tcMar>
              <w:top w:w="80" w:type="dxa"/>
              <w:start w:w="120" w:type="dxa"/>
              <w:bottom w:w="80" w:type="dxa"/>
              <w:end w:w="120" w:type="dxa"/>
            </w:tcMar>
          </w:tcPr>
          <w:p>
            <w:pPr>
              <w:spacing w:before="0" w:after="0" w:line="245" w:lineRule="auto"/>
            </w:pPr>
          </w:p>
        </w:tc>
      </w:tr>
      <w:tr>
        <w:trPr>
          <w:cantSplit/>
        </w:trPr>
        <w:tc>
          <w:tcPr>
            <w:tcW w:type="dxa" w:w="471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Kütle dengesi</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1</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2</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r>
      <w:tr>
        <w:trPr>
          <w:cantSplit/>
        </w:trPr>
        <w:tc>
          <w:tcPr>
            <w:tcW w:type="dxa" w:w="471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Proses girdisi olarak yakıt</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1</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2a/2b</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2</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r>
      <w:tr>
        <w:trPr>
          <w:cantSplit/>
        </w:trPr>
        <w:tc>
          <w:tcPr>
            <w:tcW w:type="dxa" w:w="4716"/>
            <w:vAlign w:val="center"/>
            <w:shd w:fill="ECF6EF"/>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0D5F31"/>
                <w:sz w:val="14"/>
              </w:rPr>
              <w:t>İkincil Alüminyum da Dahil Demir İçeren ve İçermeyen Metallerin Üretimi veya İşlenmesi</w:t>
            </w:r>
          </w:p>
        </w:tc>
        <w:tc>
          <w:tcPr>
            <w:tcW w:type="dxa" w:w="858"/>
            <w:vAlign w:val="center"/>
            <w:tcMar>
              <w:top w:w="80" w:type="dxa"/>
              <w:start w:w="120" w:type="dxa"/>
              <w:bottom w:w="80" w:type="dxa"/>
              <w:end w:w="120" w:type="dxa"/>
            </w:tcMar>
          </w:tcPr>
          <w:p>
            <w:pPr>
              <w:spacing w:before="0" w:after="0" w:line="245" w:lineRule="auto"/>
            </w:pPr>
          </w:p>
        </w:tc>
        <w:tc>
          <w:tcPr>
            <w:tcW w:type="dxa" w:w="858"/>
            <w:vAlign w:val="center"/>
            <w:tcMar>
              <w:top w:w="80" w:type="dxa"/>
              <w:start w:w="120" w:type="dxa"/>
              <w:bottom w:w="80" w:type="dxa"/>
              <w:end w:w="120" w:type="dxa"/>
            </w:tcMar>
          </w:tcPr>
          <w:p>
            <w:pPr>
              <w:spacing w:before="0" w:after="0" w:line="245" w:lineRule="auto"/>
            </w:pPr>
          </w:p>
        </w:tc>
        <w:tc>
          <w:tcPr>
            <w:tcW w:type="dxa" w:w="858"/>
            <w:vAlign w:val="center"/>
            <w:tcMar>
              <w:top w:w="80" w:type="dxa"/>
              <w:start w:w="120" w:type="dxa"/>
              <w:bottom w:w="80" w:type="dxa"/>
              <w:end w:w="120" w:type="dxa"/>
            </w:tcMar>
          </w:tcPr>
          <w:p>
            <w:pPr>
              <w:spacing w:before="0" w:after="0" w:line="245" w:lineRule="auto"/>
            </w:pPr>
          </w:p>
        </w:tc>
        <w:tc>
          <w:tcPr>
            <w:tcW w:type="dxa" w:w="858"/>
            <w:vAlign w:val="center"/>
            <w:tcMar>
              <w:top w:w="80" w:type="dxa"/>
              <w:start w:w="120" w:type="dxa"/>
              <w:bottom w:w="80" w:type="dxa"/>
              <w:end w:w="120" w:type="dxa"/>
            </w:tcMar>
          </w:tcPr>
          <w:p>
            <w:pPr>
              <w:spacing w:before="0" w:after="0" w:line="245" w:lineRule="auto"/>
            </w:pPr>
          </w:p>
        </w:tc>
        <w:tc>
          <w:tcPr>
            <w:tcW w:type="dxa" w:w="858"/>
            <w:vAlign w:val="center"/>
            <w:tcMar>
              <w:top w:w="80" w:type="dxa"/>
              <w:start w:w="120" w:type="dxa"/>
              <w:bottom w:w="80" w:type="dxa"/>
              <w:end w:w="120" w:type="dxa"/>
            </w:tcMar>
          </w:tcPr>
          <w:p>
            <w:pPr>
              <w:spacing w:before="0" w:after="0" w:line="245" w:lineRule="auto"/>
            </w:pPr>
          </w:p>
        </w:tc>
        <w:tc>
          <w:tcPr>
            <w:tcW w:type="dxa" w:w="858"/>
            <w:vAlign w:val="center"/>
            <w:tcMar>
              <w:top w:w="80" w:type="dxa"/>
              <w:start w:w="120" w:type="dxa"/>
              <w:bottom w:w="80" w:type="dxa"/>
              <w:end w:w="120" w:type="dxa"/>
            </w:tcMar>
          </w:tcPr>
          <w:p>
            <w:pPr>
              <w:spacing w:before="0" w:after="0" w:line="245" w:lineRule="auto"/>
            </w:pPr>
          </w:p>
        </w:tc>
      </w:tr>
      <w:tr>
        <w:trPr>
          <w:cantSplit/>
        </w:trPr>
        <w:tc>
          <w:tcPr>
            <w:tcW w:type="dxa" w:w="471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Kütle dengesi</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1</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2</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r>
      <w:tr>
        <w:trPr>
          <w:cantSplit/>
        </w:trPr>
        <w:tc>
          <w:tcPr>
            <w:tcW w:type="dxa" w:w="471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Proses emisyonları</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1</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1</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1</w:t>
            </w:r>
          </w:p>
        </w:tc>
      </w:tr>
      <w:tr>
        <w:trPr>
          <w:cantSplit/>
        </w:trPr>
        <w:tc>
          <w:tcPr>
            <w:tcW w:type="dxa" w:w="4716"/>
            <w:vAlign w:val="center"/>
            <w:shd w:fill="ECF6EF"/>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0D5F31"/>
                <w:sz w:val="14"/>
              </w:rPr>
              <w:t>Birinci Alüminyum Üretimi</w:t>
            </w:r>
          </w:p>
        </w:tc>
        <w:tc>
          <w:tcPr>
            <w:tcW w:type="dxa" w:w="858"/>
            <w:vAlign w:val="center"/>
            <w:tcMar>
              <w:top w:w="80" w:type="dxa"/>
              <w:start w:w="120" w:type="dxa"/>
              <w:bottom w:w="80" w:type="dxa"/>
              <w:end w:w="120" w:type="dxa"/>
            </w:tcMar>
          </w:tcPr>
          <w:p>
            <w:pPr>
              <w:spacing w:before="0" w:after="0" w:line="245" w:lineRule="auto"/>
            </w:pPr>
          </w:p>
        </w:tc>
        <w:tc>
          <w:tcPr>
            <w:tcW w:type="dxa" w:w="858"/>
            <w:vAlign w:val="center"/>
            <w:tcMar>
              <w:top w:w="80" w:type="dxa"/>
              <w:start w:w="120" w:type="dxa"/>
              <w:bottom w:w="80" w:type="dxa"/>
              <w:end w:w="120" w:type="dxa"/>
            </w:tcMar>
          </w:tcPr>
          <w:p>
            <w:pPr>
              <w:spacing w:before="0" w:after="0" w:line="245" w:lineRule="auto"/>
            </w:pPr>
          </w:p>
        </w:tc>
        <w:tc>
          <w:tcPr>
            <w:tcW w:type="dxa" w:w="858"/>
            <w:vAlign w:val="center"/>
            <w:tcMar>
              <w:top w:w="80" w:type="dxa"/>
              <w:start w:w="120" w:type="dxa"/>
              <w:bottom w:w="80" w:type="dxa"/>
              <w:end w:w="120" w:type="dxa"/>
            </w:tcMar>
          </w:tcPr>
          <w:p>
            <w:pPr>
              <w:spacing w:before="0" w:after="0" w:line="245" w:lineRule="auto"/>
            </w:pPr>
          </w:p>
        </w:tc>
        <w:tc>
          <w:tcPr>
            <w:tcW w:type="dxa" w:w="858"/>
            <w:vAlign w:val="center"/>
            <w:tcMar>
              <w:top w:w="80" w:type="dxa"/>
              <w:start w:w="120" w:type="dxa"/>
              <w:bottom w:w="80" w:type="dxa"/>
              <w:end w:w="120" w:type="dxa"/>
            </w:tcMar>
          </w:tcPr>
          <w:p>
            <w:pPr>
              <w:spacing w:before="0" w:after="0" w:line="245" w:lineRule="auto"/>
            </w:pPr>
          </w:p>
        </w:tc>
        <w:tc>
          <w:tcPr>
            <w:tcW w:type="dxa" w:w="858"/>
            <w:vAlign w:val="center"/>
            <w:tcMar>
              <w:top w:w="80" w:type="dxa"/>
              <w:start w:w="120" w:type="dxa"/>
              <w:bottom w:w="80" w:type="dxa"/>
              <w:end w:w="120" w:type="dxa"/>
            </w:tcMar>
          </w:tcPr>
          <w:p>
            <w:pPr>
              <w:spacing w:before="0" w:after="0" w:line="245" w:lineRule="auto"/>
            </w:pPr>
          </w:p>
        </w:tc>
        <w:tc>
          <w:tcPr>
            <w:tcW w:type="dxa" w:w="858"/>
            <w:vAlign w:val="center"/>
            <w:tcMar>
              <w:top w:w="80" w:type="dxa"/>
              <w:start w:w="120" w:type="dxa"/>
              <w:bottom w:w="80" w:type="dxa"/>
              <w:end w:w="120" w:type="dxa"/>
            </w:tcMar>
          </w:tcPr>
          <w:p>
            <w:pPr>
              <w:spacing w:before="0" w:after="0" w:line="245" w:lineRule="auto"/>
            </w:pPr>
          </w:p>
        </w:tc>
      </w:tr>
      <w:tr>
        <w:trPr>
          <w:cantSplit/>
        </w:trPr>
        <w:tc>
          <w:tcPr>
            <w:tcW w:type="dxa" w:w="471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CO emisyonları için kütle 2 dengesi</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1</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2</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r>
      <w:tr>
        <w:trPr>
          <w:cantSplit/>
        </w:trPr>
        <w:tc>
          <w:tcPr>
            <w:tcW w:type="dxa" w:w="471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PFC emisyonları (eğim yöntemi)</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1</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1</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r>
      <w:tr>
        <w:trPr>
          <w:cantSplit/>
        </w:trPr>
        <w:tc>
          <w:tcPr>
            <w:tcW w:type="dxa" w:w="471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PFC emisyonları (aşırı gerilim yöntemi)</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1</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1</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r>
      <w:tr>
        <w:trPr>
          <w:cantSplit/>
        </w:trPr>
        <w:tc>
          <w:tcPr>
            <w:tcW w:type="dxa" w:w="4716"/>
            <w:vAlign w:val="center"/>
            <w:shd w:fill="ECF6EF"/>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0D5F31"/>
                <w:sz w:val="14"/>
              </w:rPr>
              <w:t>Çimento Klinkerinin Üretimi</w:t>
            </w:r>
          </w:p>
        </w:tc>
        <w:tc>
          <w:tcPr>
            <w:tcW w:type="dxa" w:w="858"/>
            <w:vAlign w:val="center"/>
            <w:tcMar>
              <w:top w:w="80" w:type="dxa"/>
              <w:start w:w="120" w:type="dxa"/>
              <w:bottom w:w="80" w:type="dxa"/>
              <w:end w:w="120" w:type="dxa"/>
            </w:tcMar>
          </w:tcPr>
          <w:p>
            <w:pPr>
              <w:spacing w:before="0" w:after="0" w:line="245" w:lineRule="auto"/>
            </w:pPr>
          </w:p>
        </w:tc>
        <w:tc>
          <w:tcPr>
            <w:tcW w:type="dxa" w:w="858"/>
            <w:vAlign w:val="center"/>
            <w:tcMar>
              <w:top w:w="80" w:type="dxa"/>
              <w:start w:w="120" w:type="dxa"/>
              <w:bottom w:w="80" w:type="dxa"/>
              <w:end w:w="120" w:type="dxa"/>
            </w:tcMar>
          </w:tcPr>
          <w:p>
            <w:pPr>
              <w:spacing w:before="0" w:after="0" w:line="245" w:lineRule="auto"/>
            </w:pPr>
          </w:p>
        </w:tc>
        <w:tc>
          <w:tcPr>
            <w:tcW w:type="dxa" w:w="858"/>
            <w:vAlign w:val="center"/>
            <w:tcMar>
              <w:top w:w="80" w:type="dxa"/>
              <w:start w:w="120" w:type="dxa"/>
              <w:bottom w:w="80" w:type="dxa"/>
              <w:end w:w="120" w:type="dxa"/>
            </w:tcMar>
          </w:tcPr>
          <w:p>
            <w:pPr>
              <w:spacing w:before="0" w:after="0" w:line="245" w:lineRule="auto"/>
            </w:pPr>
          </w:p>
        </w:tc>
        <w:tc>
          <w:tcPr>
            <w:tcW w:type="dxa" w:w="858"/>
            <w:vAlign w:val="center"/>
            <w:tcMar>
              <w:top w:w="80" w:type="dxa"/>
              <w:start w:w="120" w:type="dxa"/>
              <w:bottom w:w="80" w:type="dxa"/>
              <w:end w:w="120" w:type="dxa"/>
            </w:tcMar>
          </w:tcPr>
          <w:p>
            <w:pPr>
              <w:spacing w:before="0" w:after="0" w:line="245" w:lineRule="auto"/>
            </w:pPr>
          </w:p>
        </w:tc>
        <w:tc>
          <w:tcPr>
            <w:tcW w:type="dxa" w:w="858"/>
            <w:vAlign w:val="center"/>
            <w:tcMar>
              <w:top w:w="80" w:type="dxa"/>
              <w:start w:w="120" w:type="dxa"/>
              <w:bottom w:w="80" w:type="dxa"/>
              <w:end w:w="120" w:type="dxa"/>
            </w:tcMar>
          </w:tcPr>
          <w:p>
            <w:pPr>
              <w:spacing w:before="0" w:after="0" w:line="245" w:lineRule="auto"/>
            </w:pPr>
          </w:p>
        </w:tc>
        <w:tc>
          <w:tcPr>
            <w:tcW w:type="dxa" w:w="858"/>
            <w:vAlign w:val="center"/>
            <w:tcMar>
              <w:top w:w="80" w:type="dxa"/>
              <w:start w:w="120" w:type="dxa"/>
              <w:bottom w:w="80" w:type="dxa"/>
              <w:end w:w="120" w:type="dxa"/>
            </w:tcMar>
          </w:tcPr>
          <w:p>
            <w:pPr>
              <w:spacing w:before="0" w:after="0" w:line="245" w:lineRule="auto"/>
            </w:pPr>
          </w:p>
        </w:tc>
      </w:tr>
      <w:tr>
        <w:trPr>
          <w:cantSplit/>
        </w:trPr>
        <w:tc>
          <w:tcPr>
            <w:tcW w:type="dxa" w:w="471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Döner fırın girdisi temelli</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1</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1</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1</w:t>
            </w:r>
          </w:p>
        </w:tc>
      </w:tr>
      <w:tr>
        <w:trPr>
          <w:cantSplit/>
        </w:trPr>
        <w:tc>
          <w:tcPr>
            <w:tcW w:type="dxa" w:w="471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Klinker çıktısı</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1</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1</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1</w:t>
            </w:r>
          </w:p>
        </w:tc>
      </w:tr>
      <w:tr>
        <w:trPr>
          <w:cantSplit/>
        </w:trPr>
        <w:tc>
          <w:tcPr>
            <w:tcW w:type="dxa" w:w="471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CKD (Çimento Fırın Tozu)</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1</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1</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r>
      <w:tr>
        <w:trPr>
          <w:cantSplit/>
        </w:trPr>
        <w:tc>
          <w:tcPr>
            <w:tcW w:type="dxa" w:w="471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Karbonat olmayan karbon</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1</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1</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1</w:t>
            </w:r>
          </w:p>
        </w:tc>
      </w:tr>
      <w:tr>
        <w:trPr>
          <w:cantSplit/>
        </w:trPr>
        <w:tc>
          <w:tcPr>
            <w:tcW w:type="dxa" w:w="4716"/>
            <w:vAlign w:val="center"/>
            <w:shd w:fill="ECF6EF"/>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0D5F31"/>
                <w:sz w:val="14"/>
              </w:rPr>
              <w:t>Kireç Üretimi ve Dolomit ve Magnezit Kalsinasyonu</w:t>
            </w:r>
          </w:p>
        </w:tc>
        <w:tc>
          <w:tcPr>
            <w:tcW w:type="dxa" w:w="858"/>
            <w:vAlign w:val="center"/>
            <w:tcMar>
              <w:top w:w="80" w:type="dxa"/>
              <w:start w:w="120" w:type="dxa"/>
              <w:bottom w:w="80" w:type="dxa"/>
              <w:end w:w="120" w:type="dxa"/>
            </w:tcMar>
          </w:tcPr>
          <w:p>
            <w:pPr>
              <w:spacing w:before="0" w:after="0" w:line="245" w:lineRule="auto"/>
            </w:pPr>
          </w:p>
        </w:tc>
        <w:tc>
          <w:tcPr>
            <w:tcW w:type="dxa" w:w="858"/>
            <w:vAlign w:val="center"/>
            <w:tcMar>
              <w:top w:w="80" w:type="dxa"/>
              <w:start w:w="120" w:type="dxa"/>
              <w:bottom w:w="80" w:type="dxa"/>
              <w:end w:w="120" w:type="dxa"/>
            </w:tcMar>
          </w:tcPr>
          <w:p>
            <w:pPr>
              <w:spacing w:before="0" w:after="0" w:line="245" w:lineRule="auto"/>
            </w:pPr>
          </w:p>
        </w:tc>
        <w:tc>
          <w:tcPr>
            <w:tcW w:type="dxa" w:w="858"/>
            <w:vAlign w:val="center"/>
            <w:tcMar>
              <w:top w:w="80" w:type="dxa"/>
              <w:start w:w="120" w:type="dxa"/>
              <w:bottom w:w="80" w:type="dxa"/>
              <w:end w:w="120" w:type="dxa"/>
            </w:tcMar>
          </w:tcPr>
          <w:p>
            <w:pPr>
              <w:spacing w:before="0" w:after="0" w:line="245" w:lineRule="auto"/>
            </w:pPr>
          </w:p>
        </w:tc>
        <w:tc>
          <w:tcPr>
            <w:tcW w:type="dxa" w:w="858"/>
            <w:vAlign w:val="center"/>
            <w:tcMar>
              <w:top w:w="80" w:type="dxa"/>
              <w:start w:w="120" w:type="dxa"/>
              <w:bottom w:w="80" w:type="dxa"/>
              <w:end w:w="120" w:type="dxa"/>
            </w:tcMar>
          </w:tcPr>
          <w:p>
            <w:pPr>
              <w:spacing w:before="0" w:after="0" w:line="245" w:lineRule="auto"/>
            </w:pPr>
          </w:p>
        </w:tc>
        <w:tc>
          <w:tcPr>
            <w:tcW w:type="dxa" w:w="858"/>
            <w:vAlign w:val="center"/>
            <w:tcMar>
              <w:top w:w="80" w:type="dxa"/>
              <w:start w:w="120" w:type="dxa"/>
              <w:bottom w:w="80" w:type="dxa"/>
              <w:end w:w="120" w:type="dxa"/>
            </w:tcMar>
          </w:tcPr>
          <w:p>
            <w:pPr>
              <w:spacing w:before="0" w:after="0" w:line="245" w:lineRule="auto"/>
            </w:pPr>
          </w:p>
        </w:tc>
        <w:tc>
          <w:tcPr>
            <w:tcW w:type="dxa" w:w="858"/>
            <w:vAlign w:val="center"/>
            <w:tcMar>
              <w:top w:w="80" w:type="dxa"/>
              <w:start w:w="120" w:type="dxa"/>
              <w:bottom w:w="80" w:type="dxa"/>
              <w:end w:w="120" w:type="dxa"/>
            </w:tcMar>
          </w:tcPr>
          <w:p>
            <w:pPr>
              <w:spacing w:before="0" w:after="0" w:line="245" w:lineRule="auto"/>
            </w:pPr>
          </w:p>
        </w:tc>
      </w:tr>
      <w:tr>
        <w:trPr>
          <w:cantSplit/>
        </w:trPr>
        <w:tc>
          <w:tcPr>
            <w:tcW w:type="dxa" w:w="471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Karbonatlar</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1</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1</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1</w:t>
            </w:r>
          </w:p>
        </w:tc>
      </w:tr>
      <w:tr>
        <w:trPr>
          <w:cantSplit/>
        </w:trPr>
        <w:tc>
          <w:tcPr>
            <w:tcW w:type="dxa" w:w="471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Toprak alkali oksit</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1</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1</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1</w:t>
            </w:r>
          </w:p>
        </w:tc>
      </w:tr>
      <w:tr>
        <w:trPr>
          <w:cantSplit/>
        </w:trPr>
        <w:tc>
          <w:tcPr>
            <w:tcW w:type="dxa" w:w="4716"/>
            <w:vAlign w:val="center"/>
            <w:shd w:fill="ECF6EF"/>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0D5F31"/>
                <w:sz w:val="14"/>
              </w:rPr>
              <w:t>Cam ve Cam Yünü Üretimi</w:t>
            </w:r>
          </w:p>
        </w:tc>
        <w:tc>
          <w:tcPr>
            <w:tcW w:type="dxa" w:w="858"/>
            <w:vAlign w:val="center"/>
            <w:tcMar>
              <w:top w:w="80" w:type="dxa"/>
              <w:start w:w="120" w:type="dxa"/>
              <w:bottom w:w="80" w:type="dxa"/>
              <w:end w:w="120" w:type="dxa"/>
            </w:tcMar>
          </w:tcPr>
          <w:p>
            <w:pPr>
              <w:spacing w:before="0" w:after="0" w:line="245" w:lineRule="auto"/>
            </w:pPr>
          </w:p>
        </w:tc>
        <w:tc>
          <w:tcPr>
            <w:tcW w:type="dxa" w:w="858"/>
            <w:vAlign w:val="center"/>
            <w:tcMar>
              <w:top w:w="80" w:type="dxa"/>
              <w:start w:w="120" w:type="dxa"/>
              <w:bottom w:w="80" w:type="dxa"/>
              <w:end w:w="120" w:type="dxa"/>
            </w:tcMar>
          </w:tcPr>
          <w:p>
            <w:pPr>
              <w:spacing w:before="0" w:after="0" w:line="245" w:lineRule="auto"/>
            </w:pPr>
          </w:p>
        </w:tc>
        <w:tc>
          <w:tcPr>
            <w:tcW w:type="dxa" w:w="858"/>
            <w:vAlign w:val="center"/>
            <w:tcMar>
              <w:top w:w="80" w:type="dxa"/>
              <w:start w:w="120" w:type="dxa"/>
              <w:bottom w:w="80" w:type="dxa"/>
              <w:end w:w="120" w:type="dxa"/>
            </w:tcMar>
          </w:tcPr>
          <w:p>
            <w:pPr>
              <w:spacing w:before="0" w:after="0" w:line="245" w:lineRule="auto"/>
            </w:pPr>
          </w:p>
        </w:tc>
        <w:tc>
          <w:tcPr>
            <w:tcW w:type="dxa" w:w="858"/>
            <w:vAlign w:val="center"/>
            <w:tcMar>
              <w:top w:w="80" w:type="dxa"/>
              <w:start w:w="120" w:type="dxa"/>
              <w:bottom w:w="80" w:type="dxa"/>
              <w:end w:w="120" w:type="dxa"/>
            </w:tcMar>
          </w:tcPr>
          <w:p>
            <w:pPr>
              <w:spacing w:before="0" w:after="0" w:line="245" w:lineRule="auto"/>
            </w:pPr>
          </w:p>
        </w:tc>
        <w:tc>
          <w:tcPr>
            <w:tcW w:type="dxa" w:w="858"/>
            <w:vAlign w:val="center"/>
            <w:tcMar>
              <w:top w:w="80" w:type="dxa"/>
              <w:start w:w="120" w:type="dxa"/>
              <w:bottom w:w="80" w:type="dxa"/>
              <w:end w:w="120" w:type="dxa"/>
            </w:tcMar>
          </w:tcPr>
          <w:p>
            <w:pPr>
              <w:spacing w:before="0" w:after="0" w:line="245" w:lineRule="auto"/>
            </w:pPr>
          </w:p>
        </w:tc>
        <w:tc>
          <w:tcPr>
            <w:tcW w:type="dxa" w:w="858"/>
            <w:vAlign w:val="center"/>
            <w:tcMar>
              <w:top w:w="80" w:type="dxa"/>
              <w:start w:w="120" w:type="dxa"/>
              <w:bottom w:w="80" w:type="dxa"/>
              <w:end w:w="120" w:type="dxa"/>
            </w:tcMar>
          </w:tcPr>
          <w:p>
            <w:pPr>
              <w:spacing w:before="0" w:after="0" w:line="245" w:lineRule="auto"/>
            </w:pPr>
          </w:p>
        </w:tc>
      </w:tr>
      <w:tr>
        <w:trPr>
          <w:cantSplit/>
        </w:trPr>
        <w:tc>
          <w:tcPr>
            <w:tcW w:type="dxa" w:w="471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Karbonatlar</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1</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1</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r>
      <w:tr>
        <w:trPr>
          <w:cantSplit/>
        </w:trPr>
        <w:tc>
          <w:tcPr>
            <w:tcW w:type="dxa" w:w="4716"/>
            <w:vAlign w:val="center"/>
            <w:shd w:fill="ECF6EF"/>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0D5F31"/>
                <w:sz w:val="14"/>
              </w:rPr>
              <w:t>Seramik Ürünlerin Üretimi</w:t>
            </w:r>
          </w:p>
        </w:tc>
        <w:tc>
          <w:tcPr>
            <w:tcW w:type="dxa" w:w="858"/>
            <w:vAlign w:val="center"/>
            <w:tcMar>
              <w:top w:w="80" w:type="dxa"/>
              <w:start w:w="120" w:type="dxa"/>
              <w:bottom w:w="80" w:type="dxa"/>
              <w:end w:w="120" w:type="dxa"/>
            </w:tcMar>
          </w:tcPr>
          <w:p>
            <w:pPr>
              <w:spacing w:before="0" w:after="0" w:line="245" w:lineRule="auto"/>
            </w:pPr>
          </w:p>
        </w:tc>
        <w:tc>
          <w:tcPr>
            <w:tcW w:type="dxa" w:w="858"/>
            <w:vAlign w:val="center"/>
            <w:tcMar>
              <w:top w:w="80" w:type="dxa"/>
              <w:start w:w="120" w:type="dxa"/>
              <w:bottom w:w="80" w:type="dxa"/>
              <w:end w:w="120" w:type="dxa"/>
            </w:tcMar>
          </w:tcPr>
          <w:p>
            <w:pPr>
              <w:spacing w:before="0" w:after="0" w:line="245" w:lineRule="auto"/>
            </w:pPr>
          </w:p>
        </w:tc>
        <w:tc>
          <w:tcPr>
            <w:tcW w:type="dxa" w:w="858"/>
            <w:vAlign w:val="center"/>
            <w:tcMar>
              <w:top w:w="80" w:type="dxa"/>
              <w:start w:w="120" w:type="dxa"/>
              <w:bottom w:w="80" w:type="dxa"/>
              <w:end w:w="120" w:type="dxa"/>
            </w:tcMar>
          </w:tcPr>
          <w:p>
            <w:pPr>
              <w:spacing w:before="0" w:after="0" w:line="245" w:lineRule="auto"/>
            </w:pPr>
          </w:p>
        </w:tc>
        <w:tc>
          <w:tcPr>
            <w:tcW w:type="dxa" w:w="858"/>
            <w:vAlign w:val="center"/>
            <w:tcMar>
              <w:top w:w="80" w:type="dxa"/>
              <w:start w:w="120" w:type="dxa"/>
              <w:bottom w:w="80" w:type="dxa"/>
              <w:end w:w="120" w:type="dxa"/>
            </w:tcMar>
          </w:tcPr>
          <w:p>
            <w:pPr>
              <w:spacing w:before="0" w:after="0" w:line="245" w:lineRule="auto"/>
            </w:pPr>
          </w:p>
        </w:tc>
        <w:tc>
          <w:tcPr>
            <w:tcW w:type="dxa" w:w="858"/>
            <w:vAlign w:val="center"/>
            <w:tcMar>
              <w:top w:w="80" w:type="dxa"/>
              <w:start w:w="120" w:type="dxa"/>
              <w:bottom w:w="80" w:type="dxa"/>
              <w:end w:w="120" w:type="dxa"/>
            </w:tcMar>
          </w:tcPr>
          <w:p>
            <w:pPr>
              <w:spacing w:before="0" w:after="0" w:line="245" w:lineRule="auto"/>
            </w:pPr>
          </w:p>
        </w:tc>
        <w:tc>
          <w:tcPr>
            <w:tcW w:type="dxa" w:w="858"/>
            <w:vAlign w:val="center"/>
            <w:tcMar>
              <w:top w:w="80" w:type="dxa"/>
              <w:start w:w="120" w:type="dxa"/>
              <w:bottom w:w="80" w:type="dxa"/>
              <w:end w:w="120" w:type="dxa"/>
            </w:tcMar>
          </w:tcPr>
          <w:p>
            <w:pPr>
              <w:spacing w:before="0" w:after="0" w:line="245" w:lineRule="auto"/>
            </w:pPr>
          </w:p>
        </w:tc>
      </w:tr>
      <w:tr>
        <w:trPr>
          <w:cantSplit/>
        </w:trPr>
        <w:tc>
          <w:tcPr>
            <w:tcW w:type="dxa" w:w="471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Karbon girdileri</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1</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1</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1</w:t>
            </w:r>
          </w:p>
        </w:tc>
      </w:tr>
    </w:tbl>
    <w:tbl>
      <w:tblPr>
        <w:tblStyle w:val="TableGrid"/>
        <w:tblW w:type="dxa" w:w="9864"/>
        <w:jc w:val="left"/>
        <w:tblLayout w:type="fixed"/>
        <w:tblLook w:firstColumn="1" w:firstRow="1" w:lastColumn="0" w:lastRow="0" w:noHBand="0" w:noVBand="1" w:val="04A0"/>
        <w:tblInd w:w="120" w:type="dxa"/>
      </w:tblPr>
      <w:tblGrid>
        <w:gridCol w:w="4716"/>
        <w:gridCol w:w="858"/>
        <w:gridCol w:w="858"/>
        <w:gridCol w:w="858"/>
        <w:gridCol w:w="858"/>
        <w:gridCol w:w="858"/>
        <w:gridCol w:w="858"/>
      </w:tblGrid>
      <w:tr>
        <w:trPr>
          <w:tblHeader/>
          <w:cantSplit/>
        </w:trPr>
        <w:tc>
          <w:tcPr>
            <w:tcW w:type="dxa" w:w="4716"/>
            <w:vAlign w:val="center"/>
            <w:shd w:fill="0D5F31"/>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FFFFFF"/>
                <w:sz w:val="14"/>
              </w:rPr>
              <w:t>Alkali oksit</w:t>
            </w:r>
          </w:p>
        </w:tc>
        <w:tc>
          <w:tcPr>
            <w:tcW w:type="dxa" w:w="858"/>
            <w:vAlign w:val="center"/>
            <w:shd w:fill="0D5F31"/>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FFFFFF"/>
                <w:sz w:val="14"/>
              </w:rPr>
              <w:t>1</w:t>
            </w:r>
          </w:p>
        </w:tc>
        <w:tc>
          <w:tcPr>
            <w:tcW w:type="dxa" w:w="858"/>
            <w:vAlign w:val="center"/>
            <w:shd w:fill="0D5F31"/>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FFFFFF"/>
                <w:sz w:val="14"/>
              </w:rPr>
              <w:t>n.a.</w:t>
            </w:r>
          </w:p>
        </w:tc>
        <w:tc>
          <w:tcPr>
            <w:tcW w:type="dxa" w:w="858"/>
            <w:vAlign w:val="center"/>
            <w:shd w:fill="0D5F31"/>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FFFFFF"/>
                <w:sz w:val="14"/>
              </w:rPr>
              <w:t>1</w:t>
            </w:r>
          </w:p>
        </w:tc>
        <w:tc>
          <w:tcPr>
            <w:tcW w:type="dxa" w:w="858"/>
            <w:vAlign w:val="center"/>
            <w:shd w:fill="0D5F31"/>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FFFFFF"/>
                <w:sz w:val="14"/>
              </w:rPr>
              <w:t>n.a.</w:t>
            </w:r>
          </w:p>
        </w:tc>
        <w:tc>
          <w:tcPr>
            <w:tcW w:type="dxa" w:w="858"/>
            <w:vAlign w:val="center"/>
            <w:shd w:fill="0D5F31"/>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FFFFFF"/>
                <w:sz w:val="14"/>
              </w:rPr>
              <w:t>n.a.</w:t>
            </w:r>
          </w:p>
        </w:tc>
        <w:tc>
          <w:tcPr>
            <w:tcW w:type="dxa" w:w="858"/>
            <w:vAlign w:val="center"/>
            <w:shd w:fill="0D5F31"/>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FFFFFF"/>
                <w:sz w:val="14"/>
              </w:rPr>
              <w:t>1</w:t>
            </w:r>
          </w:p>
        </w:tc>
      </w:tr>
      <w:tr>
        <w:trPr>
          <w:cantSplit/>
        </w:trPr>
        <w:tc>
          <w:tcPr>
            <w:tcW w:type="dxa" w:w="4716"/>
            <w:vAlign w:val="center"/>
            <w:shd w:fill="ECF6EF"/>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0D5F31"/>
                <w:sz w:val="14"/>
              </w:rPr>
              <w:t>Yıkama</w:t>
            </w:r>
          </w:p>
        </w:tc>
        <w:tc>
          <w:tcPr>
            <w:tcW w:type="dxa" w:w="858"/>
            <w:vAlign w:val="center"/>
            <w:shd w:fill="ECF6EF"/>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0D5F31"/>
                <w:sz w:val="14"/>
              </w:rPr>
              <w:t>1</w:t>
            </w:r>
          </w:p>
        </w:tc>
        <w:tc>
          <w:tcPr>
            <w:tcW w:type="dxa" w:w="858"/>
            <w:vAlign w:val="center"/>
            <w:shd w:fill="ECF6EF"/>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0D5F31"/>
                <w:sz w:val="14"/>
              </w:rPr>
              <w:t>n.a.</w:t>
            </w:r>
          </w:p>
        </w:tc>
        <w:tc>
          <w:tcPr>
            <w:tcW w:type="dxa" w:w="858"/>
            <w:vAlign w:val="center"/>
            <w:shd w:fill="ECF6EF"/>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0D5F31"/>
                <w:sz w:val="14"/>
              </w:rPr>
              <w:t>1</w:t>
            </w:r>
          </w:p>
        </w:tc>
        <w:tc>
          <w:tcPr>
            <w:tcW w:type="dxa" w:w="858"/>
            <w:vAlign w:val="center"/>
            <w:shd w:fill="ECF6EF"/>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0D5F31"/>
                <w:sz w:val="14"/>
              </w:rPr>
              <w:t>n.a.</w:t>
            </w:r>
          </w:p>
        </w:tc>
        <w:tc>
          <w:tcPr>
            <w:tcW w:type="dxa" w:w="858"/>
            <w:vAlign w:val="center"/>
            <w:shd w:fill="ECF6EF"/>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0D5F31"/>
                <w:sz w:val="14"/>
              </w:rPr>
              <w:t>n.a.</w:t>
            </w:r>
          </w:p>
        </w:tc>
        <w:tc>
          <w:tcPr>
            <w:tcW w:type="dxa" w:w="858"/>
            <w:vAlign w:val="center"/>
            <w:shd w:fill="ECF6EF"/>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0D5F31"/>
                <w:sz w:val="14"/>
              </w:rPr>
              <w:t>n.a.</w:t>
            </w:r>
          </w:p>
        </w:tc>
      </w:tr>
      <w:tr>
        <w:trPr>
          <w:cantSplit/>
        </w:trPr>
        <w:tc>
          <w:tcPr>
            <w:tcW w:type="dxa" w:w="4716"/>
            <w:vAlign w:val="center"/>
            <w:shd w:fill="ECF6EF"/>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0D5F31"/>
                <w:sz w:val="14"/>
              </w:rPr>
              <w:t>Alçı Taşı ve Alçı Panellerin Üretimi: Yakıtların yanmasına bakınız</w:t>
            </w:r>
          </w:p>
        </w:tc>
        <w:tc>
          <w:tcPr>
            <w:tcW w:type="dxa" w:w="858"/>
            <w:vAlign w:val="center"/>
            <w:tcMar>
              <w:top w:w="80" w:type="dxa"/>
              <w:start w:w="120" w:type="dxa"/>
              <w:bottom w:w="80" w:type="dxa"/>
              <w:end w:w="120" w:type="dxa"/>
            </w:tcMar>
          </w:tcPr>
          <w:p>
            <w:pPr>
              <w:spacing w:before="0" w:after="0" w:line="245" w:lineRule="auto"/>
            </w:pPr>
          </w:p>
        </w:tc>
        <w:tc>
          <w:tcPr>
            <w:tcW w:type="dxa" w:w="858"/>
            <w:vAlign w:val="center"/>
            <w:tcMar>
              <w:top w:w="80" w:type="dxa"/>
              <w:start w:w="120" w:type="dxa"/>
              <w:bottom w:w="80" w:type="dxa"/>
              <w:end w:w="120" w:type="dxa"/>
            </w:tcMar>
          </w:tcPr>
          <w:p>
            <w:pPr>
              <w:spacing w:before="0" w:after="0" w:line="245" w:lineRule="auto"/>
            </w:pPr>
          </w:p>
        </w:tc>
        <w:tc>
          <w:tcPr>
            <w:tcW w:type="dxa" w:w="858"/>
            <w:vAlign w:val="center"/>
            <w:tcMar>
              <w:top w:w="80" w:type="dxa"/>
              <w:start w:w="120" w:type="dxa"/>
              <w:bottom w:w="80" w:type="dxa"/>
              <w:end w:w="120" w:type="dxa"/>
            </w:tcMar>
          </w:tcPr>
          <w:p>
            <w:pPr>
              <w:spacing w:before="0" w:after="0" w:line="245" w:lineRule="auto"/>
            </w:pPr>
          </w:p>
        </w:tc>
        <w:tc>
          <w:tcPr>
            <w:tcW w:type="dxa" w:w="858"/>
            <w:vAlign w:val="center"/>
            <w:tcMar>
              <w:top w:w="80" w:type="dxa"/>
              <w:start w:w="120" w:type="dxa"/>
              <w:bottom w:w="80" w:type="dxa"/>
              <w:end w:w="120" w:type="dxa"/>
            </w:tcMar>
          </w:tcPr>
          <w:p>
            <w:pPr>
              <w:spacing w:before="0" w:after="0" w:line="245" w:lineRule="auto"/>
            </w:pPr>
          </w:p>
        </w:tc>
        <w:tc>
          <w:tcPr>
            <w:tcW w:type="dxa" w:w="858"/>
            <w:vAlign w:val="center"/>
            <w:tcMar>
              <w:top w:w="80" w:type="dxa"/>
              <w:start w:w="120" w:type="dxa"/>
              <w:bottom w:w="80" w:type="dxa"/>
              <w:end w:w="120" w:type="dxa"/>
            </w:tcMar>
          </w:tcPr>
          <w:p>
            <w:pPr>
              <w:spacing w:before="0" w:after="0" w:line="245" w:lineRule="auto"/>
            </w:pPr>
          </w:p>
        </w:tc>
        <w:tc>
          <w:tcPr>
            <w:tcW w:type="dxa" w:w="858"/>
            <w:vAlign w:val="center"/>
            <w:tcMar>
              <w:top w:w="80" w:type="dxa"/>
              <w:start w:w="120" w:type="dxa"/>
              <w:bottom w:w="80" w:type="dxa"/>
              <w:end w:w="120" w:type="dxa"/>
            </w:tcMar>
          </w:tcPr>
          <w:p>
            <w:pPr>
              <w:spacing w:before="0" w:after="0" w:line="245" w:lineRule="auto"/>
            </w:pPr>
          </w:p>
        </w:tc>
      </w:tr>
      <w:tr>
        <w:trPr>
          <w:cantSplit/>
        </w:trPr>
        <w:tc>
          <w:tcPr>
            <w:tcW w:type="dxa" w:w="4716"/>
            <w:vAlign w:val="center"/>
            <w:shd w:fill="ECF6EF"/>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0D5F31"/>
                <w:sz w:val="14"/>
              </w:rPr>
              <w:t>Selüloz &amp; Kağıt Üretimi</w:t>
            </w:r>
          </w:p>
        </w:tc>
        <w:tc>
          <w:tcPr>
            <w:tcW w:type="dxa" w:w="858"/>
            <w:vAlign w:val="center"/>
            <w:tcMar>
              <w:top w:w="80" w:type="dxa"/>
              <w:start w:w="120" w:type="dxa"/>
              <w:bottom w:w="80" w:type="dxa"/>
              <w:end w:w="120" w:type="dxa"/>
            </w:tcMar>
          </w:tcPr>
          <w:p>
            <w:pPr>
              <w:spacing w:before="0" w:after="0" w:line="245" w:lineRule="auto"/>
            </w:pPr>
          </w:p>
        </w:tc>
        <w:tc>
          <w:tcPr>
            <w:tcW w:type="dxa" w:w="858"/>
            <w:vAlign w:val="center"/>
            <w:tcMar>
              <w:top w:w="80" w:type="dxa"/>
              <w:start w:w="120" w:type="dxa"/>
              <w:bottom w:w="80" w:type="dxa"/>
              <w:end w:w="120" w:type="dxa"/>
            </w:tcMar>
          </w:tcPr>
          <w:p>
            <w:pPr>
              <w:spacing w:before="0" w:after="0" w:line="245" w:lineRule="auto"/>
            </w:pPr>
          </w:p>
        </w:tc>
        <w:tc>
          <w:tcPr>
            <w:tcW w:type="dxa" w:w="858"/>
            <w:vAlign w:val="center"/>
            <w:tcMar>
              <w:top w:w="80" w:type="dxa"/>
              <w:start w:w="120" w:type="dxa"/>
              <w:bottom w:w="80" w:type="dxa"/>
              <w:end w:w="120" w:type="dxa"/>
            </w:tcMar>
          </w:tcPr>
          <w:p>
            <w:pPr>
              <w:spacing w:before="0" w:after="0" w:line="245" w:lineRule="auto"/>
            </w:pPr>
          </w:p>
        </w:tc>
        <w:tc>
          <w:tcPr>
            <w:tcW w:type="dxa" w:w="858"/>
            <w:vAlign w:val="center"/>
            <w:tcMar>
              <w:top w:w="80" w:type="dxa"/>
              <w:start w:w="120" w:type="dxa"/>
              <w:bottom w:w="80" w:type="dxa"/>
              <w:end w:w="120" w:type="dxa"/>
            </w:tcMar>
          </w:tcPr>
          <w:p>
            <w:pPr>
              <w:spacing w:before="0" w:after="0" w:line="245" w:lineRule="auto"/>
            </w:pPr>
          </w:p>
        </w:tc>
        <w:tc>
          <w:tcPr>
            <w:tcW w:type="dxa" w:w="858"/>
            <w:vAlign w:val="center"/>
            <w:tcMar>
              <w:top w:w="80" w:type="dxa"/>
              <w:start w:w="120" w:type="dxa"/>
              <w:bottom w:w="80" w:type="dxa"/>
              <w:end w:w="120" w:type="dxa"/>
            </w:tcMar>
          </w:tcPr>
          <w:p>
            <w:pPr>
              <w:spacing w:before="0" w:after="0" w:line="245" w:lineRule="auto"/>
            </w:pPr>
          </w:p>
        </w:tc>
        <w:tc>
          <w:tcPr>
            <w:tcW w:type="dxa" w:w="858"/>
            <w:vAlign w:val="center"/>
            <w:tcMar>
              <w:top w:w="80" w:type="dxa"/>
              <w:start w:w="120" w:type="dxa"/>
              <w:bottom w:w="80" w:type="dxa"/>
              <w:end w:w="120" w:type="dxa"/>
            </w:tcMar>
          </w:tcPr>
          <w:p>
            <w:pPr>
              <w:spacing w:before="0" w:after="0" w:line="245" w:lineRule="auto"/>
            </w:pPr>
          </w:p>
        </w:tc>
      </w:tr>
      <w:tr>
        <w:trPr>
          <w:cantSplit/>
        </w:trPr>
        <w:tc>
          <w:tcPr>
            <w:tcW w:type="dxa" w:w="471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Takviye kimyasalları</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1</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1</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r>
      <w:tr>
        <w:trPr>
          <w:cantSplit/>
        </w:trPr>
        <w:tc>
          <w:tcPr>
            <w:tcW w:type="dxa" w:w="4716"/>
            <w:vAlign w:val="center"/>
            <w:shd w:fill="ECF6EF"/>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0D5F31"/>
                <w:sz w:val="14"/>
              </w:rPr>
              <w:t>Karbon Siyahı Üretimi</w:t>
            </w:r>
          </w:p>
        </w:tc>
        <w:tc>
          <w:tcPr>
            <w:tcW w:type="dxa" w:w="858"/>
            <w:vAlign w:val="center"/>
            <w:tcMar>
              <w:top w:w="80" w:type="dxa"/>
              <w:start w:w="120" w:type="dxa"/>
              <w:bottom w:w="80" w:type="dxa"/>
              <w:end w:w="120" w:type="dxa"/>
            </w:tcMar>
          </w:tcPr>
          <w:p>
            <w:pPr>
              <w:spacing w:before="0" w:after="0" w:line="245" w:lineRule="auto"/>
            </w:pPr>
          </w:p>
        </w:tc>
        <w:tc>
          <w:tcPr>
            <w:tcW w:type="dxa" w:w="858"/>
            <w:vAlign w:val="center"/>
            <w:tcMar>
              <w:top w:w="80" w:type="dxa"/>
              <w:start w:w="120" w:type="dxa"/>
              <w:bottom w:w="80" w:type="dxa"/>
              <w:end w:w="120" w:type="dxa"/>
            </w:tcMar>
          </w:tcPr>
          <w:p>
            <w:pPr>
              <w:spacing w:before="0" w:after="0" w:line="245" w:lineRule="auto"/>
            </w:pPr>
          </w:p>
        </w:tc>
        <w:tc>
          <w:tcPr>
            <w:tcW w:type="dxa" w:w="858"/>
            <w:vAlign w:val="center"/>
            <w:tcMar>
              <w:top w:w="80" w:type="dxa"/>
              <w:start w:w="120" w:type="dxa"/>
              <w:bottom w:w="80" w:type="dxa"/>
              <w:end w:w="120" w:type="dxa"/>
            </w:tcMar>
          </w:tcPr>
          <w:p>
            <w:pPr>
              <w:spacing w:before="0" w:after="0" w:line="245" w:lineRule="auto"/>
            </w:pPr>
          </w:p>
        </w:tc>
        <w:tc>
          <w:tcPr>
            <w:tcW w:type="dxa" w:w="858"/>
            <w:vAlign w:val="center"/>
            <w:tcMar>
              <w:top w:w="80" w:type="dxa"/>
              <w:start w:w="120" w:type="dxa"/>
              <w:bottom w:w="80" w:type="dxa"/>
              <w:end w:w="120" w:type="dxa"/>
            </w:tcMar>
          </w:tcPr>
          <w:p>
            <w:pPr>
              <w:spacing w:before="0" w:after="0" w:line="245" w:lineRule="auto"/>
            </w:pPr>
          </w:p>
        </w:tc>
        <w:tc>
          <w:tcPr>
            <w:tcW w:type="dxa" w:w="858"/>
            <w:vAlign w:val="center"/>
            <w:tcMar>
              <w:top w:w="80" w:type="dxa"/>
              <w:start w:w="120" w:type="dxa"/>
              <w:bottom w:w="80" w:type="dxa"/>
              <w:end w:w="120" w:type="dxa"/>
            </w:tcMar>
          </w:tcPr>
          <w:p>
            <w:pPr>
              <w:spacing w:before="0" w:after="0" w:line="245" w:lineRule="auto"/>
            </w:pPr>
          </w:p>
        </w:tc>
        <w:tc>
          <w:tcPr>
            <w:tcW w:type="dxa" w:w="858"/>
            <w:vAlign w:val="center"/>
            <w:tcMar>
              <w:top w:w="80" w:type="dxa"/>
              <w:start w:w="120" w:type="dxa"/>
              <w:bottom w:w="80" w:type="dxa"/>
              <w:end w:w="120" w:type="dxa"/>
            </w:tcMar>
          </w:tcPr>
          <w:p>
            <w:pPr>
              <w:spacing w:before="0" w:after="0" w:line="245" w:lineRule="auto"/>
            </w:pPr>
          </w:p>
        </w:tc>
      </w:tr>
      <w:tr>
        <w:trPr>
          <w:cantSplit/>
        </w:trPr>
        <w:tc>
          <w:tcPr>
            <w:tcW w:type="dxa" w:w="471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Kütle denge yöntemi</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1</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1</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r>
      <w:tr>
        <w:trPr>
          <w:cantSplit/>
        </w:trPr>
        <w:tc>
          <w:tcPr>
            <w:tcW w:type="dxa" w:w="4716"/>
            <w:vAlign w:val="center"/>
            <w:shd w:fill="ECF6EF"/>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0D5F31"/>
                <w:sz w:val="14"/>
              </w:rPr>
              <w:t>Amonyak Üretimi</w:t>
            </w:r>
          </w:p>
        </w:tc>
        <w:tc>
          <w:tcPr>
            <w:tcW w:type="dxa" w:w="858"/>
            <w:vAlign w:val="center"/>
            <w:tcMar>
              <w:top w:w="80" w:type="dxa"/>
              <w:start w:w="120" w:type="dxa"/>
              <w:bottom w:w="80" w:type="dxa"/>
              <w:end w:w="120" w:type="dxa"/>
            </w:tcMar>
          </w:tcPr>
          <w:p>
            <w:pPr>
              <w:spacing w:before="0" w:after="0" w:line="245" w:lineRule="auto"/>
            </w:pPr>
          </w:p>
        </w:tc>
        <w:tc>
          <w:tcPr>
            <w:tcW w:type="dxa" w:w="858"/>
            <w:vAlign w:val="center"/>
            <w:tcMar>
              <w:top w:w="80" w:type="dxa"/>
              <w:start w:w="120" w:type="dxa"/>
              <w:bottom w:w="80" w:type="dxa"/>
              <w:end w:w="120" w:type="dxa"/>
            </w:tcMar>
          </w:tcPr>
          <w:p>
            <w:pPr>
              <w:spacing w:before="0" w:after="0" w:line="245" w:lineRule="auto"/>
            </w:pPr>
          </w:p>
        </w:tc>
        <w:tc>
          <w:tcPr>
            <w:tcW w:type="dxa" w:w="858"/>
            <w:vAlign w:val="center"/>
            <w:tcMar>
              <w:top w:w="80" w:type="dxa"/>
              <w:start w:w="120" w:type="dxa"/>
              <w:bottom w:w="80" w:type="dxa"/>
              <w:end w:w="120" w:type="dxa"/>
            </w:tcMar>
          </w:tcPr>
          <w:p>
            <w:pPr>
              <w:spacing w:before="0" w:after="0" w:line="245" w:lineRule="auto"/>
            </w:pPr>
          </w:p>
        </w:tc>
        <w:tc>
          <w:tcPr>
            <w:tcW w:type="dxa" w:w="858"/>
            <w:vAlign w:val="center"/>
            <w:tcMar>
              <w:top w:w="80" w:type="dxa"/>
              <w:start w:w="120" w:type="dxa"/>
              <w:bottom w:w="80" w:type="dxa"/>
              <w:end w:w="120" w:type="dxa"/>
            </w:tcMar>
          </w:tcPr>
          <w:p>
            <w:pPr>
              <w:spacing w:before="0" w:after="0" w:line="245" w:lineRule="auto"/>
            </w:pPr>
          </w:p>
        </w:tc>
        <w:tc>
          <w:tcPr>
            <w:tcW w:type="dxa" w:w="858"/>
            <w:vAlign w:val="center"/>
            <w:tcMar>
              <w:top w:w="80" w:type="dxa"/>
              <w:start w:w="120" w:type="dxa"/>
              <w:bottom w:w="80" w:type="dxa"/>
              <w:end w:w="120" w:type="dxa"/>
            </w:tcMar>
          </w:tcPr>
          <w:p>
            <w:pPr>
              <w:spacing w:before="0" w:after="0" w:line="245" w:lineRule="auto"/>
            </w:pPr>
          </w:p>
        </w:tc>
        <w:tc>
          <w:tcPr>
            <w:tcW w:type="dxa" w:w="858"/>
            <w:vAlign w:val="center"/>
            <w:tcMar>
              <w:top w:w="80" w:type="dxa"/>
              <w:start w:w="120" w:type="dxa"/>
              <w:bottom w:w="80" w:type="dxa"/>
              <w:end w:w="120" w:type="dxa"/>
            </w:tcMar>
          </w:tcPr>
          <w:p>
            <w:pPr>
              <w:spacing w:before="0" w:after="0" w:line="245" w:lineRule="auto"/>
            </w:pPr>
          </w:p>
        </w:tc>
      </w:tr>
      <w:tr>
        <w:trPr>
          <w:cantSplit/>
        </w:trPr>
        <w:tc>
          <w:tcPr>
            <w:tcW w:type="dxa" w:w="471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Proses girdisi olarak yakıt</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2</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2a/2b</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2a/2b</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r>
      <w:tr>
        <w:trPr>
          <w:cantSplit/>
        </w:trPr>
        <w:tc>
          <w:tcPr>
            <w:tcW w:type="dxa" w:w="4716"/>
            <w:vAlign w:val="center"/>
            <w:shd w:fill="ECF6EF"/>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0D5F31"/>
                <w:sz w:val="14"/>
              </w:rPr>
              <w:t>Yığın Organik Kimyasalların Üretimi</w:t>
            </w:r>
          </w:p>
        </w:tc>
        <w:tc>
          <w:tcPr>
            <w:tcW w:type="dxa" w:w="858"/>
            <w:vAlign w:val="center"/>
            <w:tcMar>
              <w:top w:w="80" w:type="dxa"/>
              <w:start w:w="120" w:type="dxa"/>
              <w:bottom w:w="80" w:type="dxa"/>
              <w:end w:w="120" w:type="dxa"/>
            </w:tcMar>
          </w:tcPr>
          <w:p>
            <w:pPr>
              <w:spacing w:before="0" w:after="0" w:line="245" w:lineRule="auto"/>
            </w:pPr>
          </w:p>
        </w:tc>
        <w:tc>
          <w:tcPr>
            <w:tcW w:type="dxa" w:w="858"/>
            <w:vAlign w:val="center"/>
            <w:tcMar>
              <w:top w:w="80" w:type="dxa"/>
              <w:start w:w="120" w:type="dxa"/>
              <w:bottom w:w="80" w:type="dxa"/>
              <w:end w:w="120" w:type="dxa"/>
            </w:tcMar>
          </w:tcPr>
          <w:p>
            <w:pPr>
              <w:spacing w:before="0" w:after="0" w:line="245" w:lineRule="auto"/>
            </w:pPr>
          </w:p>
        </w:tc>
        <w:tc>
          <w:tcPr>
            <w:tcW w:type="dxa" w:w="858"/>
            <w:vAlign w:val="center"/>
            <w:tcMar>
              <w:top w:w="80" w:type="dxa"/>
              <w:start w:w="120" w:type="dxa"/>
              <w:bottom w:w="80" w:type="dxa"/>
              <w:end w:w="120" w:type="dxa"/>
            </w:tcMar>
          </w:tcPr>
          <w:p>
            <w:pPr>
              <w:spacing w:before="0" w:after="0" w:line="245" w:lineRule="auto"/>
            </w:pPr>
          </w:p>
        </w:tc>
        <w:tc>
          <w:tcPr>
            <w:tcW w:type="dxa" w:w="858"/>
            <w:vAlign w:val="center"/>
            <w:tcMar>
              <w:top w:w="80" w:type="dxa"/>
              <w:start w:w="120" w:type="dxa"/>
              <w:bottom w:w="80" w:type="dxa"/>
              <w:end w:w="120" w:type="dxa"/>
            </w:tcMar>
          </w:tcPr>
          <w:p>
            <w:pPr>
              <w:spacing w:before="0" w:after="0" w:line="245" w:lineRule="auto"/>
            </w:pPr>
          </w:p>
        </w:tc>
        <w:tc>
          <w:tcPr>
            <w:tcW w:type="dxa" w:w="858"/>
            <w:vAlign w:val="center"/>
            <w:tcMar>
              <w:top w:w="80" w:type="dxa"/>
              <w:start w:w="120" w:type="dxa"/>
              <w:bottom w:w="80" w:type="dxa"/>
              <w:end w:w="120" w:type="dxa"/>
            </w:tcMar>
          </w:tcPr>
          <w:p>
            <w:pPr>
              <w:spacing w:before="0" w:after="0" w:line="245" w:lineRule="auto"/>
            </w:pPr>
          </w:p>
        </w:tc>
        <w:tc>
          <w:tcPr>
            <w:tcW w:type="dxa" w:w="858"/>
            <w:vAlign w:val="center"/>
            <w:tcMar>
              <w:top w:w="80" w:type="dxa"/>
              <w:start w:w="120" w:type="dxa"/>
              <w:bottom w:w="80" w:type="dxa"/>
              <w:end w:w="120" w:type="dxa"/>
            </w:tcMar>
          </w:tcPr>
          <w:p>
            <w:pPr>
              <w:spacing w:before="0" w:after="0" w:line="245" w:lineRule="auto"/>
            </w:pPr>
          </w:p>
        </w:tc>
      </w:tr>
      <w:tr>
        <w:trPr>
          <w:cantSplit/>
        </w:trPr>
        <w:tc>
          <w:tcPr>
            <w:tcW w:type="dxa" w:w="471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Kütle dengesi</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1</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2</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r>
      <w:tr>
        <w:trPr>
          <w:cantSplit/>
        </w:trPr>
        <w:tc>
          <w:tcPr>
            <w:tcW w:type="dxa" w:w="4716"/>
            <w:vAlign w:val="center"/>
            <w:shd w:fill="ECF6EF"/>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0D5F31"/>
                <w:sz w:val="14"/>
              </w:rPr>
              <w:t>Hidrojen ve Sentez Gazının Üretimi</w:t>
            </w:r>
          </w:p>
        </w:tc>
        <w:tc>
          <w:tcPr>
            <w:tcW w:type="dxa" w:w="858"/>
            <w:vAlign w:val="center"/>
            <w:tcMar>
              <w:top w:w="80" w:type="dxa"/>
              <w:start w:w="120" w:type="dxa"/>
              <w:bottom w:w="80" w:type="dxa"/>
              <w:end w:w="120" w:type="dxa"/>
            </w:tcMar>
          </w:tcPr>
          <w:p>
            <w:pPr>
              <w:spacing w:before="0" w:after="0" w:line="245" w:lineRule="auto"/>
            </w:pPr>
          </w:p>
        </w:tc>
        <w:tc>
          <w:tcPr>
            <w:tcW w:type="dxa" w:w="858"/>
            <w:vAlign w:val="center"/>
            <w:tcMar>
              <w:top w:w="80" w:type="dxa"/>
              <w:start w:w="120" w:type="dxa"/>
              <w:bottom w:w="80" w:type="dxa"/>
              <w:end w:w="120" w:type="dxa"/>
            </w:tcMar>
          </w:tcPr>
          <w:p>
            <w:pPr>
              <w:spacing w:before="0" w:after="0" w:line="245" w:lineRule="auto"/>
            </w:pPr>
          </w:p>
        </w:tc>
        <w:tc>
          <w:tcPr>
            <w:tcW w:type="dxa" w:w="858"/>
            <w:vAlign w:val="center"/>
            <w:tcMar>
              <w:top w:w="80" w:type="dxa"/>
              <w:start w:w="120" w:type="dxa"/>
              <w:bottom w:w="80" w:type="dxa"/>
              <w:end w:w="120" w:type="dxa"/>
            </w:tcMar>
          </w:tcPr>
          <w:p>
            <w:pPr>
              <w:spacing w:before="0" w:after="0" w:line="245" w:lineRule="auto"/>
            </w:pPr>
          </w:p>
        </w:tc>
        <w:tc>
          <w:tcPr>
            <w:tcW w:type="dxa" w:w="858"/>
            <w:vAlign w:val="center"/>
            <w:tcMar>
              <w:top w:w="80" w:type="dxa"/>
              <w:start w:w="120" w:type="dxa"/>
              <w:bottom w:w="80" w:type="dxa"/>
              <w:end w:w="120" w:type="dxa"/>
            </w:tcMar>
          </w:tcPr>
          <w:p>
            <w:pPr>
              <w:spacing w:before="0" w:after="0" w:line="245" w:lineRule="auto"/>
            </w:pPr>
          </w:p>
        </w:tc>
        <w:tc>
          <w:tcPr>
            <w:tcW w:type="dxa" w:w="858"/>
            <w:vAlign w:val="center"/>
            <w:tcMar>
              <w:top w:w="80" w:type="dxa"/>
              <w:start w:w="120" w:type="dxa"/>
              <w:bottom w:w="80" w:type="dxa"/>
              <w:end w:w="120" w:type="dxa"/>
            </w:tcMar>
          </w:tcPr>
          <w:p>
            <w:pPr>
              <w:spacing w:before="0" w:after="0" w:line="245" w:lineRule="auto"/>
            </w:pPr>
          </w:p>
        </w:tc>
        <w:tc>
          <w:tcPr>
            <w:tcW w:type="dxa" w:w="858"/>
            <w:vAlign w:val="center"/>
            <w:tcMar>
              <w:top w:w="80" w:type="dxa"/>
              <w:start w:w="120" w:type="dxa"/>
              <w:bottom w:w="80" w:type="dxa"/>
              <w:end w:w="120" w:type="dxa"/>
            </w:tcMar>
          </w:tcPr>
          <w:p>
            <w:pPr>
              <w:spacing w:before="0" w:after="0" w:line="245" w:lineRule="auto"/>
            </w:pPr>
          </w:p>
        </w:tc>
      </w:tr>
      <w:tr>
        <w:trPr>
          <w:cantSplit/>
        </w:trPr>
        <w:tc>
          <w:tcPr>
            <w:tcW w:type="dxa" w:w="471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İşlem girdisi olarak yakıt</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2</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2a/2b</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2a/2b</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r>
      <w:tr>
        <w:trPr>
          <w:cantSplit/>
        </w:trPr>
        <w:tc>
          <w:tcPr>
            <w:tcW w:type="dxa" w:w="471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Kütle dengesi</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1</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2</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r>
      <w:tr>
        <w:trPr>
          <w:cantSplit/>
        </w:trPr>
        <w:tc>
          <w:tcPr>
            <w:tcW w:type="dxa" w:w="4716"/>
            <w:vAlign w:val="center"/>
            <w:shd w:fill="ECF6EF"/>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0D5F31"/>
                <w:sz w:val="14"/>
              </w:rPr>
              <w:t>Soda Külü ve Sodyum Bikarbonat</w:t>
            </w:r>
          </w:p>
        </w:tc>
        <w:tc>
          <w:tcPr>
            <w:tcW w:type="dxa" w:w="858"/>
            <w:vAlign w:val="center"/>
            <w:tcMar>
              <w:top w:w="80" w:type="dxa"/>
              <w:start w:w="120" w:type="dxa"/>
              <w:bottom w:w="80" w:type="dxa"/>
              <w:end w:w="120" w:type="dxa"/>
            </w:tcMar>
          </w:tcPr>
          <w:p>
            <w:pPr>
              <w:spacing w:before="0" w:after="0" w:line="245" w:lineRule="auto"/>
            </w:pPr>
          </w:p>
        </w:tc>
        <w:tc>
          <w:tcPr>
            <w:tcW w:type="dxa" w:w="858"/>
            <w:vAlign w:val="center"/>
            <w:tcMar>
              <w:top w:w="80" w:type="dxa"/>
              <w:start w:w="120" w:type="dxa"/>
              <w:bottom w:w="80" w:type="dxa"/>
              <w:end w:w="120" w:type="dxa"/>
            </w:tcMar>
          </w:tcPr>
          <w:p>
            <w:pPr>
              <w:spacing w:before="0" w:after="0" w:line="245" w:lineRule="auto"/>
            </w:pPr>
          </w:p>
        </w:tc>
        <w:tc>
          <w:tcPr>
            <w:tcW w:type="dxa" w:w="858"/>
            <w:vAlign w:val="center"/>
            <w:tcMar>
              <w:top w:w="80" w:type="dxa"/>
              <w:start w:w="120" w:type="dxa"/>
              <w:bottom w:w="80" w:type="dxa"/>
              <w:end w:w="120" w:type="dxa"/>
            </w:tcMar>
          </w:tcPr>
          <w:p>
            <w:pPr>
              <w:spacing w:before="0" w:after="0" w:line="245" w:lineRule="auto"/>
            </w:pPr>
          </w:p>
        </w:tc>
        <w:tc>
          <w:tcPr>
            <w:tcW w:type="dxa" w:w="858"/>
            <w:vAlign w:val="center"/>
            <w:tcMar>
              <w:top w:w="80" w:type="dxa"/>
              <w:start w:w="120" w:type="dxa"/>
              <w:bottom w:w="80" w:type="dxa"/>
              <w:end w:w="120" w:type="dxa"/>
            </w:tcMar>
          </w:tcPr>
          <w:p>
            <w:pPr>
              <w:spacing w:before="0" w:after="0" w:line="245" w:lineRule="auto"/>
            </w:pPr>
          </w:p>
        </w:tc>
        <w:tc>
          <w:tcPr>
            <w:tcW w:type="dxa" w:w="858"/>
            <w:vAlign w:val="center"/>
            <w:tcMar>
              <w:top w:w="80" w:type="dxa"/>
              <w:start w:w="120" w:type="dxa"/>
              <w:bottom w:w="80" w:type="dxa"/>
              <w:end w:w="120" w:type="dxa"/>
            </w:tcMar>
          </w:tcPr>
          <w:p>
            <w:pPr>
              <w:spacing w:before="0" w:after="0" w:line="245" w:lineRule="auto"/>
            </w:pPr>
          </w:p>
        </w:tc>
        <w:tc>
          <w:tcPr>
            <w:tcW w:type="dxa" w:w="858"/>
            <w:vAlign w:val="center"/>
            <w:tcMar>
              <w:top w:w="80" w:type="dxa"/>
              <w:start w:w="120" w:type="dxa"/>
              <w:bottom w:w="80" w:type="dxa"/>
              <w:end w:w="120" w:type="dxa"/>
            </w:tcMar>
          </w:tcPr>
          <w:p>
            <w:pPr>
              <w:spacing w:before="0" w:after="0" w:line="245" w:lineRule="auto"/>
            </w:pPr>
          </w:p>
        </w:tc>
      </w:tr>
      <w:tr>
        <w:trPr>
          <w:cantSplit/>
        </w:trPr>
        <w:tc>
          <w:tcPr>
            <w:tcW w:type="dxa" w:w="471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Kütle dengesi</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1</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2</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c>
          <w:tcPr>
            <w:tcW w:type="dxa" w:w="85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4"/>
              </w:rPr>
              <w:t>n.a.</w:t>
            </w:r>
          </w:p>
        </w:tc>
      </w:tr>
    </w:tbl>
    <w:p>
      <w:bookmarkStart w:id="77" w:name="ek_5"/>
      <w:pPr>
        <w:pStyle w:val="AnnexHeading"/>
      </w:pPr>
      <w:hyperlink w:anchor="ek_5" w:history="1">
        <w:r>
          <w:rPr>
            <w:rFonts w:ascii="Avenir Light" w:hAnsi="Avenir Light" w:eastAsia="Avenir Light" w:cs="Avenir Light"/>
            <w:color w:val="188A42"/>
            <w:sz w:val="28"/>
            <w:szCs w:val="28"/>
          </w:rPr>
          <w:t xml:space="preserve">EK-5</w:t>
        </w:r>
      </w:hyperlink>
      <w:bookmarkEnd w:id="77"/>
    </w:p>
    <w:p>
      <w:pPr>
        <w:pStyle w:val="AnnexTitle"/>
      </w:pPr>
      <w:r>
        <w:rPr>
          <w:rFonts w:ascii="Avenir Light" w:hAnsi="Avenir Light" w:eastAsia="Avenir Light" w:cs="Avenir Light"/>
          <w:b w:val="0"/>
          <w:i w:val="0"/>
          <w:color w:val="172126"/>
          <w:sz w:val="24"/>
        </w:rPr>
        <w:t>HESAPLAMA FAKTÖRLERİ İÇİN REFERANS DEĞERLER</w:t>
      </w:r>
    </w:p>
    <w:p>
      <w:pPr>
        <w:pStyle w:val="AnnexSubheading"/>
      </w:pPr>
      <w:r>
        <w:rPr>
          <w:rFonts w:ascii="Avenir Light" w:hAnsi="Avenir Light" w:eastAsia="Avenir Light" w:cs="Avenir Light"/>
          <w:b w:val="0"/>
          <w:i w:val="0"/>
          <w:color w:val="0D5F31"/>
          <w:sz w:val="21"/>
        </w:rPr>
        <w:t>1. Net Kalorifik Değerler (NKD) ile Bağlantılı Yakıt Emisyon Faktörleri</w:t>
      </w:r>
    </w:p>
    <w:p>
      <w:pPr>
        <w:pStyle w:val="ArticleText"/>
      </w:pPr>
      <w:r>
        <w:rPr>
          <w:rFonts w:ascii="Avenir Light" w:hAnsi="Avenir Light" w:eastAsia="Avenir Light" w:cs="Avenir Light"/>
          <w:b w:val="0"/>
          <w:i w:val="0"/>
          <w:color w:val="172126"/>
          <w:sz w:val="19"/>
        </w:rPr>
        <w:t>Tablo 5.1: Net Kalorifik Değer (NKD) ile Bağlantılı Yakıt Emisyon Faktörleri ve Yakıt Kütlesi Başına NKD</w:t>
      </w:r>
    </w:p>
    <w:tbl>
      <w:tblPr>
        <w:tblStyle w:val="TableGrid"/>
        <w:tblW w:type="dxa" w:w="9864"/>
        <w:jc w:val="left"/>
        <w:tblLayout w:type="fixed"/>
        <w:tblLook w:firstColumn="1" w:firstRow="1" w:lastColumn="0" w:lastRow="0" w:noHBand="0" w:noVBand="1" w:val="04A0"/>
        <w:tblInd w:w="120" w:type="dxa"/>
      </w:tblPr>
      <w:tblGrid>
        <w:gridCol w:w="2873"/>
        <w:gridCol w:w="2681"/>
        <w:gridCol w:w="2586"/>
        <w:gridCol w:w="1724"/>
      </w:tblGrid>
      <w:tr>
        <w:trPr>
          <w:tblHeader/>
          <w:cantSplit/>
        </w:trPr>
        <w:tc>
          <w:tcPr>
            <w:tcW w:type="dxa" w:w="2873"/>
            <w:vAlign w:val="center"/>
            <w:shd w:fill="0D5F31"/>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FFFFFF"/>
                <w:sz w:val="15"/>
              </w:rPr>
              <w:t>Yakıt Tipi</w:t>
            </w:r>
          </w:p>
        </w:tc>
        <w:tc>
          <w:tcPr>
            <w:tcW w:type="dxa" w:w="2681"/>
            <w:vAlign w:val="center"/>
            <w:shd w:fill="0D5F31"/>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FFFFFF"/>
                <w:sz w:val="15"/>
              </w:rPr>
              <w:t>Emisyon Faktörü (t CO /TJ) 2</w:t>
            </w:r>
          </w:p>
        </w:tc>
        <w:tc>
          <w:tcPr>
            <w:tcW w:type="dxa" w:w="2586"/>
            <w:vAlign w:val="center"/>
            <w:shd w:fill="0D5F31"/>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FFFFFF"/>
                <w:sz w:val="15"/>
              </w:rPr>
              <w:t>Net Kalorifik Değer (TJ/Gg)</w:t>
            </w:r>
          </w:p>
        </w:tc>
        <w:tc>
          <w:tcPr>
            <w:tcW w:type="dxa" w:w="1724"/>
            <w:vAlign w:val="center"/>
            <w:shd w:fill="0D5F31"/>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FFFFFF"/>
                <w:sz w:val="15"/>
              </w:rPr>
              <w:t>Kaynak</w:t>
            </w:r>
          </w:p>
        </w:tc>
      </w:tr>
      <w:tr>
        <w:trPr>
          <w:cantSplit/>
        </w:trPr>
        <w:tc>
          <w:tcPr>
            <w:tcW w:type="dxa" w:w="2873"/>
            <w:vAlign w:val="center"/>
            <w:shd w:fill="ECF6EF"/>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0D5F31"/>
                <w:sz w:val="15"/>
              </w:rPr>
              <w:t>Ham Petrol</w:t>
            </w:r>
          </w:p>
        </w:tc>
        <w:tc>
          <w:tcPr>
            <w:tcW w:type="dxa" w:w="2681"/>
            <w:vAlign w:val="center"/>
            <w:shd w:fill="ECF6EF"/>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0D5F31"/>
                <w:sz w:val="15"/>
              </w:rPr>
              <w:t>73.3</w:t>
            </w:r>
          </w:p>
        </w:tc>
        <w:tc>
          <w:tcPr>
            <w:tcW w:type="dxa" w:w="2586"/>
            <w:vAlign w:val="center"/>
            <w:shd w:fill="ECF6EF"/>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0D5F31"/>
                <w:sz w:val="15"/>
              </w:rPr>
              <w:t>42.3</w:t>
            </w:r>
          </w:p>
        </w:tc>
        <w:tc>
          <w:tcPr>
            <w:tcW w:type="dxa" w:w="1724"/>
            <w:vAlign w:val="center"/>
            <w:shd w:fill="ECF6EF"/>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0D5F31"/>
                <w:sz w:val="15"/>
              </w:rPr>
              <w:t>IPCC 2006 Kılavuzu</w:t>
            </w:r>
          </w:p>
        </w:tc>
      </w:tr>
      <w:tr>
        <w:trPr>
          <w:cantSplit/>
        </w:trPr>
        <w:tc>
          <w:tcPr>
            <w:tcW w:type="dxa" w:w="2873"/>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Orimulsiyon</w:t>
            </w:r>
          </w:p>
        </w:tc>
        <w:tc>
          <w:tcPr>
            <w:tcW w:type="dxa" w:w="268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77.0</w:t>
            </w:r>
          </w:p>
        </w:tc>
        <w:tc>
          <w:tcPr>
            <w:tcW w:type="dxa" w:w="258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27.5</w:t>
            </w:r>
          </w:p>
        </w:tc>
        <w:tc>
          <w:tcPr>
            <w:tcW w:type="dxa" w:w="1724"/>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IPCC 2006 Kılavuzu</w:t>
            </w:r>
          </w:p>
        </w:tc>
      </w:tr>
      <w:tr>
        <w:trPr>
          <w:cantSplit/>
        </w:trPr>
        <w:tc>
          <w:tcPr>
            <w:tcW w:type="dxa" w:w="2873"/>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LNG</w:t>
            </w:r>
          </w:p>
        </w:tc>
        <w:tc>
          <w:tcPr>
            <w:tcW w:type="dxa" w:w="268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64.2</w:t>
            </w:r>
          </w:p>
        </w:tc>
        <w:tc>
          <w:tcPr>
            <w:tcW w:type="dxa" w:w="258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44.2</w:t>
            </w:r>
          </w:p>
        </w:tc>
        <w:tc>
          <w:tcPr>
            <w:tcW w:type="dxa" w:w="1724"/>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IPCC 2006 Kılavuzu</w:t>
            </w:r>
          </w:p>
        </w:tc>
      </w:tr>
      <w:tr>
        <w:trPr>
          <w:cantSplit/>
        </w:trPr>
        <w:tc>
          <w:tcPr>
            <w:tcW w:type="dxa" w:w="2873"/>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Benzin</w:t>
            </w:r>
          </w:p>
        </w:tc>
        <w:tc>
          <w:tcPr>
            <w:tcW w:type="dxa" w:w="268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69.3</w:t>
            </w:r>
          </w:p>
        </w:tc>
        <w:tc>
          <w:tcPr>
            <w:tcW w:type="dxa" w:w="258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44.3</w:t>
            </w:r>
          </w:p>
        </w:tc>
        <w:tc>
          <w:tcPr>
            <w:tcW w:type="dxa" w:w="1724"/>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IPCC 2006 Kılavuzu</w:t>
            </w:r>
          </w:p>
        </w:tc>
      </w:tr>
      <w:tr>
        <w:trPr>
          <w:cantSplit/>
        </w:trPr>
        <w:tc>
          <w:tcPr>
            <w:tcW w:type="dxa" w:w="2873"/>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Gazyağı</w:t>
            </w:r>
          </w:p>
        </w:tc>
        <w:tc>
          <w:tcPr>
            <w:tcW w:type="dxa" w:w="268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71.9</w:t>
            </w:r>
          </w:p>
        </w:tc>
        <w:tc>
          <w:tcPr>
            <w:tcW w:type="dxa" w:w="258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43.8</w:t>
            </w:r>
          </w:p>
        </w:tc>
        <w:tc>
          <w:tcPr>
            <w:tcW w:type="dxa" w:w="1724"/>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IPCC 2006 Kılavuzu</w:t>
            </w:r>
          </w:p>
        </w:tc>
      </w:tr>
      <w:tr>
        <w:trPr>
          <w:cantSplit/>
        </w:trPr>
        <w:tc>
          <w:tcPr>
            <w:tcW w:type="dxa" w:w="2873"/>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Şist Yağı</w:t>
            </w:r>
          </w:p>
        </w:tc>
        <w:tc>
          <w:tcPr>
            <w:tcW w:type="dxa" w:w="268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73.3</w:t>
            </w:r>
          </w:p>
        </w:tc>
        <w:tc>
          <w:tcPr>
            <w:tcW w:type="dxa" w:w="258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38.1</w:t>
            </w:r>
          </w:p>
        </w:tc>
        <w:tc>
          <w:tcPr>
            <w:tcW w:type="dxa" w:w="1724"/>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IPCC 2006 Kılavuzu</w:t>
            </w:r>
          </w:p>
        </w:tc>
      </w:tr>
      <w:tr>
        <w:trPr>
          <w:cantSplit/>
        </w:trPr>
        <w:tc>
          <w:tcPr>
            <w:tcW w:type="dxa" w:w="2873"/>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Motorin</w:t>
            </w:r>
          </w:p>
        </w:tc>
        <w:tc>
          <w:tcPr>
            <w:tcW w:type="dxa" w:w="268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74.1</w:t>
            </w:r>
          </w:p>
        </w:tc>
        <w:tc>
          <w:tcPr>
            <w:tcW w:type="dxa" w:w="258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43.0</w:t>
            </w:r>
          </w:p>
        </w:tc>
        <w:tc>
          <w:tcPr>
            <w:tcW w:type="dxa" w:w="1724"/>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IPCC 2006 Kılavuzu</w:t>
            </w:r>
          </w:p>
        </w:tc>
      </w:tr>
      <w:tr>
        <w:trPr>
          <w:cantSplit/>
        </w:trPr>
        <w:tc>
          <w:tcPr>
            <w:tcW w:type="dxa" w:w="2873"/>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Fuel Oil</w:t>
            </w:r>
          </w:p>
        </w:tc>
        <w:tc>
          <w:tcPr>
            <w:tcW w:type="dxa" w:w="268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77.4</w:t>
            </w:r>
          </w:p>
        </w:tc>
        <w:tc>
          <w:tcPr>
            <w:tcW w:type="dxa" w:w="258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40.4</w:t>
            </w:r>
          </w:p>
        </w:tc>
        <w:tc>
          <w:tcPr>
            <w:tcW w:type="dxa" w:w="1724"/>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IPCC 2006 Kılavuzu</w:t>
            </w:r>
          </w:p>
        </w:tc>
      </w:tr>
      <w:tr>
        <w:trPr>
          <w:cantSplit/>
        </w:trPr>
        <w:tc>
          <w:tcPr>
            <w:tcW w:type="dxa" w:w="2873"/>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Sıvılaştırılmış Petrol Gazları</w:t>
            </w:r>
          </w:p>
        </w:tc>
        <w:tc>
          <w:tcPr>
            <w:tcW w:type="dxa" w:w="268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63.1</w:t>
            </w:r>
          </w:p>
        </w:tc>
        <w:tc>
          <w:tcPr>
            <w:tcW w:type="dxa" w:w="258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47.3</w:t>
            </w:r>
          </w:p>
        </w:tc>
        <w:tc>
          <w:tcPr>
            <w:tcW w:type="dxa" w:w="1724"/>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IPCC 2006 Kılavuzu</w:t>
            </w:r>
          </w:p>
        </w:tc>
      </w:tr>
      <w:tr>
        <w:trPr>
          <w:cantSplit/>
        </w:trPr>
        <w:tc>
          <w:tcPr>
            <w:tcW w:type="dxa" w:w="2873"/>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Etan</w:t>
            </w:r>
          </w:p>
        </w:tc>
        <w:tc>
          <w:tcPr>
            <w:tcW w:type="dxa" w:w="268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61.6</w:t>
            </w:r>
          </w:p>
        </w:tc>
        <w:tc>
          <w:tcPr>
            <w:tcW w:type="dxa" w:w="258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46.4</w:t>
            </w:r>
          </w:p>
        </w:tc>
        <w:tc>
          <w:tcPr>
            <w:tcW w:type="dxa" w:w="1724"/>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IPCC 2006 Kılavuzu</w:t>
            </w:r>
          </w:p>
        </w:tc>
      </w:tr>
      <w:tr>
        <w:trPr>
          <w:cantSplit/>
        </w:trPr>
        <w:tc>
          <w:tcPr>
            <w:tcW w:type="dxa" w:w="2873"/>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Yakıt Nafta</w:t>
            </w:r>
          </w:p>
        </w:tc>
        <w:tc>
          <w:tcPr>
            <w:tcW w:type="dxa" w:w="268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73.3</w:t>
            </w:r>
          </w:p>
        </w:tc>
        <w:tc>
          <w:tcPr>
            <w:tcW w:type="dxa" w:w="258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44.5</w:t>
            </w:r>
          </w:p>
        </w:tc>
        <w:tc>
          <w:tcPr>
            <w:tcW w:type="dxa" w:w="1724"/>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IPCC 2006 Kılavuzu</w:t>
            </w:r>
          </w:p>
        </w:tc>
      </w:tr>
      <w:tr>
        <w:trPr>
          <w:cantSplit/>
        </w:trPr>
        <w:tc>
          <w:tcPr>
            <w:tcW w:type="dxa" w:w="2873"/>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Bitumen</w:t>
            </w:r>
          </w:p>
        </w:tc>
        <w:tc>
          <w:tcPr>
            <w:tcW w:type="dxa" w:w="268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80.7</w:t>
            </w:r>
          </w:p>
        </w:tc>
        <w:tc>
          <w:tcPr>
            <w:tcW w:type="dxa" w:w="258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40.2</w:t>
            </w:r>
          </w:p>
        </w:tc>
        <w:tc>
          <w:tcPr>
            <w:tcW w:type="dxa" w:w="1724"/>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IPCC 2006 Kılavuzu</w:t>
            </w:r>
          </w:p>
        </w:tc>
      </w:tr>
      <w:tr>
        <w:trPr>
          <w:cantSplit/>
        </w:trPr>
        <w:tc>
          <w:tcPr>
            <w:tcW w:type="dxa" w:w="2873"/>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Gres Yağı</w:t>
            </w:r>
          </w:p>
        </w:tc>
        <w:tc>
          <w:tcPr>
            <w:tcW w:type="dxa" w:w="268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73.3</w:t>
            </w:r>
          </w:p>
        </w:tc>
        <w:tc>
          <w:tcPr>
            <w:tcW w:type="dxa" w:w="258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40.2</w:t>
            </w:r>
          </w:p>
        </w:tc>
        <w:tc>
          <w:tcPr>
            <w:tcW w:type="dxa" w:w="1724"/>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IPCC 2006 Kılavuzu</w:t>
            </w:r>
          </w:p>
        </w:tc>
      </w:tr>
      <w:tr>
        <w:trPr>
          <w:cantSplit/>
        </w:trPr>
        <w:tc>
          <w:tcPr>
            <w:tcW w:type="dxa" w:w="2873"/>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Petrol Koku</w:t>
            </w:r>
          </w:p>
        </w:tc>
        <w:tc>
          <w:tcPr>
            <w:tcW w:type="dxa" w:w="268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97.5</w:t>
            </w:r>
          </w:p>
        </w:tc>
        <w:tc>
          <w:tcPr>
            <w:tcW w:type="dxa" w:w="258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32.5</w:t>
            </w:r>
          </w:p>
        </w:tc>
        <w:tc>
          <w:tcPr>
            <w:tcW w:type="dxa" w:w="1724"/>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IPCC 2006 Kılavuzu</w:t>
            </w:r>
          </w:p>
        </w:tc>
      </w:tr>
      <w:tr>
        <w:trPr>
          <w:cantSplit/>
        </w:trPr>
        <w:tc>
          <w:tcPr>
            <w:tcW w:type="dxa" w:w="2873"/>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Rafineri Hammaddeleri</w:t>
            </w:r>
          </w:p>
        </w:tc>
        <w:tc>
          <w:tcPr>
            <w:tcW w:type="dxa" w:w="268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73.3</w:t>
            </w:r>
          </w:p>
        </w:tc>
        <w:tc>
          <w:tcPr>
            <w:tcW w:type="dxa" w:w="258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43.0</w:t>
            </w:r>
          </w:p>
        </w:tc>
        <w:tc>
          <w:tcPr>
            <w:tcW w:type="dxa" w:w="1724"/>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IPCC 2006 Kılavuzu</w:t>
            </w:r>
          </w:p>
        </w:tc>
      </w:tr>
    </w:tbl>
    <w:tbl>
      <w:tblPr>
        <w:tblStyle w:val="TableGrid"/>
        <w:tblW w:type="dxa" w:w="9864"/>
        <w:jc w:val="left"/>
        <w:tblLayout w:type="fixed"/>
        <w:tblLook w:firstColumn="1" w:firstRow="1" w:lastColumn="0" w:lastRow="0" w:noHBand="0" w:noVBand="1" w:val="04A0"/>
        <w:tblInd w:w="120" w:type="dxa"/>
      </w:tblPr>
      <w:tblGrid>
        <w:gridCol w:w="3946"/>
        <w:gridCol w:w="1160"/>
        <w:gridCol w:w="1160"/>
        <w:gridCol w:w="3598"/>
      </w:tblGrid>
      <w:tr>
        <w:trPr>
          <w:tblHeader/>
          <w:cantSplit/>
        </w:trPr>
        <w:tc>
          <w:tcPr>
            <w:tcW w:type="dxa" w:w="3946"/>
            <w:vAlign w:val="center"/>
            <w:shd w:fill="0D5F31"/>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FFFFFF"/>
                <w:sz w:val="15"/>
              </w:rPr>
              <w:t>Rafineri Gazı</w:t>
            </w:r>
          </w:p>
        </w:tc>
        <w:tc>
          <w:tcPr>
            <w:tcW w:type="dxa" w:w="1160"/>
            <w:vAlign w:val="center"/>
            <w:shd w:fill="0D5F31"/>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FFFFFF"/>
                <w:sz w:val="15"/>
              </w:rPr>
              <w:t>57.6</w:t>
            </w:r>
          </w:p>
        </w:tc>
        <w:tc>
          <w:tcPr>
            <w:tcW w:type="dxa" w:w="1160"/>
            <w:vAlign w:val="center"/>
            <w:shd w:fill="0D5F31"/>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FFFFFF"/>
                <w:sz w:val="15"/>
              </w:rPr>
              <w:t>49.5</w:t>
            </w:r>
          </w:p>
        </w:tc>
        <w:tc>
          <w:tcPr>
            <w:tcW w:type="dxa" w:w="3598"/>
            <w:vAlign w:val="center"/>
            <w:shd w:fill="0D5F31"/>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FFFFFF"/>
                <w:sz w:val="15"/>
              </w:rPr>
              <w:t>IPCC 2006 Kılavuzu</w:t>
            </w:r>
          </w:p>
        </w:tc>
      </w:tr>
      <w:tr>
        <w:trPr>
          <w:cantSplit/>
        </w:trPr>
        <w:tc>
          <w:tcPr>
            <w:tcW w:type="dxa" w:w="3946"/>
            <w:vAlign w:val="center"/>
            <w:shd w:fill="ECF6EF"/>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0D5F31"/>
                <w:sz w:val="15"/>
              </w:rPr>
              <w:t>Parafin Mumları</w:t>
            </w:r>
          </w:p>
        </w:tc>
        <w:tc>
          <w:tcPr>
            <w:tcW w:type="dxa" w:w="1160"/>
            <w:vAlign w:val="center"/>
            <w:shd w:fill="ECF6EF"/>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0D5F31"/>
                <w:sz w:val="15"/>
              </w:rPr>
              <w:t>73.3</w:t>
            </w:r>
          </w:p>
        </w:tc>
        <w:tc>
          <w:tcPr>
            <w:tcW w:type="dxa" w:w="1160"/>
            <w:vAlign w:val="center"/>
            <w:shd w:fill="ECF6EF"/>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0D5F31"/>
                <w:sz w:val="15"/>
              </w:rPr>
              <w:t>40.2</w:t>
            </w:r>
          </w:p>
        </w:tc>
        <w:tc>
          <w:tcPr>
            <w:tcW w:type="dxa" w:w="3598"/>
            <w:vAlign w:val="center"/>
            <w:shd w:fill="ECF6EF"/>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0D5F31"/>
                <w:sz w:val="15"/>
              </w:rPr>
              <w:t>IPCC 2006 Kılavuzu</w:t>
            </w:r>
          </w:p>
        </w:tc>
      </w:tr>
      <w:tr>
        <w:trPr>
          <w:cantSplit/>
        </w:trPr>
        <w:tc>
          <w:tcPr>
            <w:tcW w:type="dxa" w:w="394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Beyaz İspirto &amp; Endüstriyel Yağlar</w:t>
            </w:r>
          </w:p>
        </w:tc>
        <w:tc>
          <w:tcPr>
            <w:tcW w:type="dxa" w:w="116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73.3</w:t>
            </w:r>
          </w:p>
        </w:tc>
        <w:tc>
          <w:tcPr>
            <w:tcW w:type="dxa" w:w="116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40.2</w:t>
            </w:r>
          </w:p>
        </w:tc>
        <w:tc>
          <w:tcPr>
            <w:tcW w:type="dxa" w:w="359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IPCC 2006 Kılavuzu</w:t>
            </w:r>
          </w:p>
        </w:tc>
      </w:tr>
      <w:tr>
        <w:trPr>
          <w:cantSplit/>
        </w:trPr>
        <w:tc>
          <w:tcPr>
            <w:tcW w:type="dxa" w:w="394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Diğer Petrol Ürünleri</w:t>
            </w:r>
          </w:p>
        </w:tc>
        <w:tc>
          <w:tcPr>
            <w:tcW w:type="dxa" w:w="116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73.3</w:t>
            </w:r>
          </w:p>
        </w:tc>
        <w:tc>
          <w:tcPr>
            <w:tcW w:type="dxa" w:w="116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40.2</w:t>
            </w:r>
          </w:p>
        </w:tc>
        <w:tc>
          <w:tcPr>
            <w:tcW w:type="dxa" w:w="359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IPCC 2006 Kılavuzu</w:t>
            </w:r>
          </w:p>
        </w:tc>
      </w:tr>
      <w:tr>
        <w:trPr>
          <w:cantSplit/>
        </w:trPr>
        <w:tc>
          <w:tcPr>
            <w:tcW w:type="dxa" w:w="394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Antrasit</w:t>
            </w:r>
          </w:p>
        </w:tc>
        <w:tc>
          <w:tcPr>
            <w:tcW w:type="dxa" w:w="116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98.3</w:t>
            </w:r>
          </w:p>
        </w:tc>
        <w:tc>
          <w:tcPr>
            <w:tcW w:type="dxa" w:w="116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26.7</w:t>
            </w:r>
          </w:p>
        </w:tc>
        <w:tc>
          <w:tcPr>
            <w:tcW w:type="dxa" w:w="359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IPCC 2006 Kılavuzu</w:t>
            </w:r>
          </w:p>
        </w:tc>
      </w:tr>
      <w:tr>
        <w:trPr>
          <w:cantSplit/>
        </w:trPr>
        <w:tc>
          <w:tcPr>
            <w:tcW w:type="dxa" w:w="394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Kok Kömürü</w:t>
            </w:r>
          </w:p>
        </w:tc>
        <w:tc>
          <w:tcPr>
            <w:tcW w:type="dxa" w:w="116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94.6</w:t>
            </w:r>
          </w:p>
        </w:tc>
        <w:tc>
          <w:tcPr>
            <w:tcW w:type="dxa" w:w="116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28.2</w:t>
            </w:r>
          </w:p>
        </w:tc>
        <w:tc>
          <w:tcPr>
            <w:tcW w:type="dxa" w:w="359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IPCC 2006 Kılavuzu</w:t>
            </w:r>
          </w:p>
        </w:tc>
      </w:tr>
      <w:tr>
        <w:trPr>
          <w:cantSplit/>
        </w:trPr>
        <w:tc>
          <w:tcPr>
            <w:tcW w:type="dxa" w:w="394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Diğer Bitümlü Kömür</w:t>
            </w:r>
          </w:p>
        </w:tc>
        <w:tc>
          <w:tcPr>
            <w:tcW w:type="dxa" w:w="116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94.6</w:t>
            </w:r>
          </w:p>
        </w:tc>
        <w:tc>
          <w:tcPr>
            <w:tcW w:type="dxa" w:w="116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25.8</w:t>
            </w:r>
          </w:p>
        </w:tc>
        <w:tc>
          <w:tcPr>
            <w:tcW w:type="dxa" w:w="359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IPCC 2006 Kılavuzu</w:t>
            </w:r>
          </w:p>
        </w:tc>
      </w:tr>
      <w:tr>
        <w:trPr>
          <w:cantSplit/>
        </w:trPr>
        <w:tc>
          <w:tcPr>
            <w:tcW w:type="dxa" w:w="394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Düşük Bitümlü Kömür</w:t>
            </w:r>
          </w:p>
        </w:tc>
        <w:tc>
          <w:tcPr>
            <w:tcW w:type="dxa" w:w="116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96.1</w:t>
            </w:r>
          </w:p>
        </w:tc>
        <w:tc>
          <w:tcPr>
            <w:tcW w:type="dxa" w:w="116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18.9</w:t>
            </w:r>
          </w:p>
        </w:tc>
        <w:tc>
          <w:tcPr>
            <w:tcW w:type="dxa" w:w="359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IPCC 2006 Kılavuzu</w:t>
            </w:r>
          </w:p>
        </w:tc>
      </w:tr>
      <w:tr>
        <w:trPr>
          <w:cantSplit/>
        </w:trPr>
        <w:tc>
          <w:tcPr>
            <w:tcW w:type="dxa" w:w="394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Linyit</w:t>
            </w:r>
          </w:p>
        </w:tc>
        <w:tc>
          <w:tcPr>
            <w:tcW w:type="dxa" w:w="116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101.0</w:t>
            </w:r>
          </w:p>
        </w:tc>
        <w:tc>
          <w:tcPr>
            <w:tcW w:type="dxa" w:w="116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11.9</w:t>
            </w:r>
          </w:p>
        </w:tc>
        <w:tc>
          <w:tcPr>
            <w:tcW w:type="dxa" w:w="359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IPCC 2006 Kılavuzu</w:t>
            </w:r>
          </w:p>
        </w:tc>
      </w:tr>
      <w:tr>
        <w:trPr>
          <w:cantSplit/>
        </w:trPr>
        <w:tc>
          <w:tcPr>
            <w:tcW w:type="dxa" w:w="394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Bitümlü Şist ve Katranlı Kum</w:t>
            </w:r>
          </w:p>
        </w:tc>
        <w:tc>
          <w:tcPr>
            <w:tcW w:type="dxa" w:w="116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107.0</w:t>
            </w:r>
          </w:p>
        </w:tc>
        <w:tc>
          <w:tcPr>
            <w:tcW w:type="dxa" w:w="116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8.9</w:t>
            </w:r>
          </w:p>
        </w:tc>
        <w:tc>
          <w:tcPr>
            <w:tcW w:type="dxa" w:w="359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IPCC 2006 Kılavuzu</w:t>
            </w:r>
          </w:p>
        </w:tc>
      </w:tr>
      <w:tr>
        <w:trPr>
          <w:cantSplit/>
        </w:trPr>
        <w:tc>
          <w:tcPr>
            <w:tcW w:type="dxa" w:w="394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Patent Yakıtı</w:t>
            </w:r>
          </w:p>
        </w:tc>
        <w:tc>
          <w:tcPr>
            <w:tcW w:type="dxa" w:w="116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97.5</w:t>
            </w:r>
          </w:p>
        </w:tc>
        <w:tc>
          <w:tcPr>
            <w:tcW w:type="dxa" w:w="116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20.7</w:t>
            </w:r>
          </w:p>
        </w:tc>
        <w:tc>
          <w:tcPr>
            <w:tcW w:type="dxa" w:w="359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IPCC 2006 Kılavuzu</w:t>
            </w:r>
          </w:p>
        </w:tc>
      </w:tr>
      <w:tr>
        <w:trPr>
          <w:cantSplit/>
        </w:trPr>
        <w:tc>
          <w:tcPr>
            <w:tcW w:type="dxa" w:w="394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Kok Fırını Koku &amp; Linyit Koku</w:t>
            </w:r>
          </w:p>
        </w:tc>
        <w:tc>
          <w:tcPr>
            <w:tcW w:type="dxa" w:w="116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107.0</w:t>
            </w:r>
          </w:p>
        </w:tc>
        <w:tc>
          <w:tcPr>
            <w:tcW w:type="dxa" w:w="116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28.2</w:t>
            </w:r>
          </w:p>
        </w:tc>
        <w:tc>
          <w:tcPr>
            <w:tcW w:type="dxa" w:w="359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IPCC 2006 Kılavuzu</w:t>
            </w:r>
          </w:p>
        </w:tc>
      </w:tr>
      <w:tr>
        <w:trPr>
          <w:cantSplit/>
        </w:trPr>
        <w:tc>
          <w:tcPr>
            <w:tcW w:type="dxa" w:w="394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Gaz Koku</w:t>
            </w:r>
          </w:p>
        </w:tc>
        <w:tc>
          <w:tcPr>
            <w:tcW w:type="dxa" w:w="116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107.0</w:t>
            </w:r>
          </w:p>
        </w:tc>
        <w:tc>
          <w:tcPr>
            <w:tcW w:type="dxa" w:w="116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28.2</w:t>
            </w:r>
          </w:p>
        </w:tc>
        <w:tc>
          <w:tcPr>
            <w:tcW w:type="dxa" w:w="359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IPCC 2006 Kılavuzu</w:t>
            </w:r>
          </w:p>
        </w:tc>
      </w:tr>
      <w:tr>
        <w:trPr>
          <w:cantSplit/>
        </w:trPr>
        <w:tc>
          <w:tcPr>
            <w:tcW w:type="dxa" w:w="394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Kömür Katranı</w:t>
            </w:r>
          </w:p>
        </w:tc>
        <w:tc>
          <w:tcPr>
            <w:tcW w:type="dxa" w:w="116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80.7</w:t>
            </w:r>
          </w:p>
        </w:tc>
        <w:tc>
          <w:tcPr>
            <w:tcW w:type="dxa" w:w="116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28.0</w:t>
            </w:r>
          </w:p>
        </w:tc>
        <w:tc>
          <w:tcPr>
            <w:tcW w:type="dxa" w:w="359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IPCC 2006 Kılavuzu</w:t>
            </w:r>
          </w:p>
        </w:tc>
      </w:tr>
      <w:tr>
        <w:trPr>
          <w:cantSplit/>
        </w:trPr>
        <w:tc>
          <w:tcPr>
            <w:tcW w:type="dxa" w:w="394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Gazhane Gazı</w:t>
            </w:r>
          </w:p>
        </w:tc>
        <w:tc>
          <w:tcPr>
            <w:tcW w:type="dxa" w:w="116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44.4</w:t>
            </w:r>
          </w:p>
        </w:tc>
        <w:tc>
          <w:tcPr>
            <w:tcW w:type="dxa" w:w="116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38.7</w:t>
            </w:r>
          </w:p>
        </w:tc>
        <w:tc>
          <w:tcPr>
            <w:tcW w:type="dxa" w:w="359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IPCC 2006 Kılavuzu</w:t>
            </w:r>
          </w:p>
        </w:tc>
      </w:tr>
      <w:tr>
        <w:trPr>
          <w:cantSplit/>
        </w:trPr>
        <w:tc>
          <w:tcPr>
            <w:tcW w:type="dxa" w:w="394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Kok Fırını Gazı</w:t>
            </w:r>
          </w:p>
        </w:tc>
        <w:tc>
          <w:tcPr>
            <w:tcW w:type="dxa" w:w="116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44.4</w:t>
            </w:r>
          </w:p>
        </w:tc>
        <w:tc>
          <w:tcPr>
            <w:tcW w:type="dxa" w:w="116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38.7</w:t>
            </w:r>
          </w:p>
        </w:tc>
        <w:tc>
          <w:tcPr>
            <w:tcW w:type="dxa" w:w="359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IPCC 2006 Kılavuzu</w:t>
            </w:r>
          </w:p>
        </w:tc>
      </w:tr>
      <w:tr>
        <w:trPr>
          <w:cantSplit/>
        </w:trPr>
        <w:tc>
          <w:tcPr>
            <w:tcW w:type="dxa" w:w="394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Yüksek Fırın Gazı</w:t>
            </w:r>
          </w:p>
        </w:tc>
        <w:tc>
          <w:tcPr>
            <w:tcW w:type="dxa" w:w="116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260</w:t>
            </w:r>
          </w:p>
        </w:tc>
        <w:tc>
          <w:tcPr>
            <w:tcW w:type="dxa" w:w="116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2.47</w:t>
            </w:r>
          </w:p>
        </w:tc>
        <w:tc>
          <w:tcPr>
            <w:tcW w:type="dxa" w:w="359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IPCC 2006 Kılavuzu</w:t>
            </w:r>
          </w:p>
        </w:tc>
      </w:tr>
      <w:tr>
        <w:trPr>
          <w:cantSplit/>
        </w:trPr>
        <w:tc>
          <w:tcPr>
            <w:tcW w:type="dxa" w:w="394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Oksijen Çelik Fırın Gazı</w:t>
            </w:r>
          </w:p>
        </w:tc>
        <w:tc>
          <w:tcPr>
            <w:tcW w:type="dxa" w:w="116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182</w:t>
            </w:r>
          </w:p>
        </w:tc>
        <w:tc>
          <w:tcPr>
            <w:tcW w:type="dxa" w:w="116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7.06</w:t>
            </w:r>
          </w:p>
        </w:tc>
        <w:tc>
          <w:tcPr>
            <w:tcW w:type="dxa" w:w="359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IPCC 2006 Kılavuzu</w:t>
            </w:r>
          </w:p>
        </w:tc>
      </w:tr>
      <w:tr>
        <w:trPr>
          <w:cantSplit/>
        </w:trPr>
        <w:tc>
          <w:tcPr>
            <w:tcW w:type="dxa" w:w="394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Doğal Gaz</w:t>
            </w:r>
          </w:p>
        </w:tc>
        <w:tc>
          <w:tcPr>
            <w:tcW w:type="dxa" w:w="116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56.1</w:t>
            </w:r>
          </w:p>
        </w:tc>
        <w:tc>
          <w:tcPr>
            <w:tcW w:type="dxa" w:w="116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48.0</w:t>
            </w:r>
          </w:p>
        </w:tc>
        <w:tc>
          <w:tcPr>
            <w:tcW w:type="dxa" w:w="359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IPCC 2006 Kılavuzu</w:t>
            </w:r>
          </w:p>
        </w:tc>
      </w:tr>
      <w:tr>
        <w:trPr>
          <w:cantSplit/>
        </w:trPr>
        <w:tc>
          <w:tcPr>
            <w:tcW w:type="dxa" w:w="394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Sanayi Atıkları</w:t>
            </w:r>
          </w:p>
        </w:tc>
        <w:tc>
          <w:tcPr>
            <w:tcW w:type="dxa" w:w="116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143</w:t>
            </w:r>
          </w:p>
        </w:tc>
        <w:tc>
          <w:tcPr>
            <w:tcW w:type="dxa" w:w="116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n.a.</w:t>
            </w:r>
          </w:p>
        </w:tc>
        <w:tc>
          <w:tcPr>
            <w:tcW w:type="dxa" w:w="359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IPCC 2006 Kılavuzu</w:t>
            </w:r>
          </w:p>
        </w:tc>
      </w:tr>
      <w:tr>
        <w:trPr>
          <w:cantSplit/>
        </w:trPr>
        <w:tc>
          <w:tcPr>
            <w:tcW w:type="dxa" w:w="394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Atık Yağlar</w:t>
            </w:r>
          </w:p>
        </w:tc>
        <w:tc>
          <w:tcPr>
            <w:tcW w:type="dxa" w:w="116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73.3</w:t>
            </w:r>
          </w:p>
        </w:tc>
        <w:tc>
          <w:tcPr>
            <w:tcW w:type="dxa" w:w="116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40.2</w:t>
            </w:r>
          </w:p>
        </w:tc>
        <w:tc>
          <w:tcPr>
            <w:tcW w:type="dxa" w:w="359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IPCC 2006 Kılavuzu</w:t>
            </w:r>
          </w:p>
        </w:tc>
      </w:tr>
      <w:tr>
        <w:trPr>
          <w:cantSplit/>
        </w:trPr>
        <w:tc>
          <w:tcPr>
            <w:tcW w:type="dxa" w:w="394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Turba</w:t>
            </w:r>
          </w:p>
        </w:tc>
        <w:tc>
          <w:tcPr>
            <w:tcW w:type="dxa" w:w="116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106.0</w:t>
            </w:r>
          </w:p>
        </w:tc>
        <w:tc>
          <w:tcPr>
            <w:tcW w:type="dxa" w:w="116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9.76</w:t>
            </w:r>
          </w:p>
        </w:tc>
        <w:tc>
          <w:tcPr>
            <w:tcW w:type="dxa" w:w="359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IPCC 2006 Kılavuzu</w:t>
            </w:r>
          </w:p>
        </w:tc>
      </w:tr>
      <w:tr>
        <w:trPr>
          <w:cantSplit/>
        </w:trPr>
        <w:tc>
          <w:tcPr>
            <w:tcW w:type="dxa" w:w="394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Odun/Odun Atığı</w:t>
            </w:r>
          </w:p>
        </w:tc>
        <w:tc>
          <w:tcPr>
            <w:tcW w:type="dxa" w:w="116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w:t>
            </w:r>
          </w:p>
        </w:tc>
        <w:tc>
          <w:tcPr>
            <w:tcW w:type="dxa" w:w="116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15.6</w:t>
            </w:r>
          </w:p>
        </w:tc>
        <w:tc>
          <w:tcPr>
            <w:tcW w:type="dxa" w:w="359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IPCC 2006 Kılavuzu</w:t>
            </w:r>
          </w:p>
        </w:tc>
      </w:tr>
      <w:tr>
        <w:trPr>
          <w:cantSplit/>
        </w:trPr>
        <w:tc>
          <w:tcPr>
            <w:tcW w:type="dxa" w:w="394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Diğer Birincil Katı Biyokütle</w:t>
            </w:r>
          </w:p>
        </w:tc>
        <w:tc>
          <w:tcPr>
            <w:tcW w:type="dxa" w:w="116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w:t>
            </w:r>
          </w:p>
        </w:tc>
        <w:tc>
          <w:tcPr>
            <w:tcW w:type="dxa" w:w="116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11.6</w:t>
            </w:r>
          </w:p>
        </w:tc>
        <w:tc>
          <w:tcPr>
            <w:tcW w:type="dxa" w:w="359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IPCC 2006 Kılavuzu (sadece NKD)</w:t>
            </w:r>
          </w:p>
        </w:tc>
      </w:tr>
      <w:tr>
        <w:trPr>
          <w:cantSplit/>
        </w:trPr>
        <w:tc>
          <w:tcPr>
            <w:tcW w:type="dxa" w:w="394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Odun Kömürü</w:t>
            </w:r>
          </w:p>
        </w:tc>
        <w:tc>
          <w:tcPr>
            <w:tcW w:type="dxa" w:w="116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w:t>
            </w:r>
          </w:p>
        </w:tc>
        <w:tc>
          <w:tcPr>
            <w:tcW w:type="dxa" w:w="1160"/>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29.5</w:t>
            </w:r>
          </w:p>
        </w:tc>
        <w:tc>
          <w:tcPr>
            <w:tcW w:type="dxa" w:w="359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IPCC 2006 Kılavuzu (sadece NKD)</w:t>
            </w:r>
          </w:p>
        </w:tc>
      </w:tr>
    </w:tbl>
    <w:tbl>
      <w:tblPr>
        <w:tblStyle w:val="TableGrid"/>
        <w:tblW w:type="dxa" w:w="9864"/>
        <w:jc w:val="left"/>
        <w:tblLayout w:type="fixed"/>
        <w:tblLook w:firstColumn="1" w:firstRow="1" w:lastColumn="0" w:lastRow="0" w:noHBand="0" w:noVBand="1" w:val="04A0"/>
        <w:tblInd w:w="120" w:type="dxa"/>
      </w:tblPr>
      <w:tblGrid>
        <w:gridCol w:w="2169"/>
        <w:gridCol w:w="1959"/>
        <w:gridCol w:w="1889"/>
        <w:gridCol w:w="3847"/>
      </w:tblGrid>
      <w:tr>
        <w:trPr>
          <w:tblHeader/>
          <w:cantSplit/>
        </w:trPr>
        <w:tc>
          <w:tcPr>
            <w:tcW w:type="dxa" w:w="2169"/>
            <w:vAlign w:val="center"/>
            <w:shd w:fill="0D5F31"/>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FFFFFF"/>
                <w:sz w:val="15"/>
              </w:rPr>
              <w:t>Yakıt Tipi</w:t>
            </w:r>
          </w:p>
        </w:tc>
        <w:tc>
          <w:tcPr>
            <w:tcW w:type="dxa" w:w="1959"/>
            <w:vAlign w:val="center"/>
            <w:shd w:fill="0D5F31"/>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FFFFFF"/>
                <w:sz w:val="15"/>
              </w:rPr>
              <w:t>Emisyon Faktörü (t CO /TJ) 2</w:t>
            </w:r>
          </w:p>
        </w:tc>
        <w:tc>
          <w:tcPr>
            <w:tcW w:type="dxa" w:w="1889"/>
            <w:vAlign w:val="center"/>
            <w:shd w:fill="0D5F31"/>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FFFFFF"/>
                <w:sz w:val="15"/>
              </w:rPr>
              <w:t>Net Kalorifik Değer (TJ/Gg)</w:t>
            </w:r>
          </w:p>
        </w:tc>
        <w:tc>
          <w:tcPr>
            <w:tcW w:type="dxa" w:w="3847"/>
            <w:vAlign w:val="center"/>
            <w:shd w:fill="0D5F31"/>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FFFFFF"/>
                <w:sz w:val="15"/>
              </w:rPr>
              <w:t>Kaynak</w:t>
            </w:r>
          </w:p>
        </w:tc>
      </w:tr>
      <w:tr>
        <w:trPr>
          <w:cantSplit/>
        </w:trPr>
        <w:tc>
          <w:tcPr>
            <w:tcW w:type="dxa" w:w="2169"/>
            <w:vAlign w:val="center"/>
            <w:shd w:fill="ECF6EF"/>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0D5F31"/>
                <w:sz w:val="15"/>
              </w:rPr>
              <w:t>Benzin (Etanol içeren)</w:t>
            </w:r>
          </w:p>
        </w:tc>
        <w:tc>
          <w:tcPr>
            <w:tcW w:type="dxa" w:w="1959"/>
            <w:vAlign w:val="center"/>
            <w:shd w:fill="ECF6EF"/>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0D5F31"/>
                <w:sz w:val="15"/>
              </w:rPr>
              <w:t>-</w:t>
            </w:r>
          </w:p>
        </w:tc>
        <w:tc>
          <w:tcPr>
            <w:tcW w:type="dxa" w:w="1889"/>
            <w:vAlign w:val="center"/>
            <w:shd w:fill="ECF6EF"/>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0D5F31"/>
                <w:sz w:val="15"/>
              </w:rPr>
              <w:t>27.0</w:t>
            </w:r>
          </w:p>
        </w:tc>
        <w:tc>
          <w:tcPr>
            <w:tcW w:type="dxa" w:w="3847"/>
            <w:vAlign w:val="center"/>
            <w:shd w:fill="ECF6EF"/>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0D5F31"/>
                <w:sz w:val="15"/>
              </w:rPr>
              <w:t>IPCC 2006 Kılavuzu (sadece NKD)</w:t>
            </w:r>
          </w:p>
        </w:tc>
      </w:tr>
      <w:tr>
        <w:trPr>
          <w:cantSplit/>
        </w:trPr>
        <w:tc>
          <w:tcPr>
            <w:tcW w:type="dxa" w:w="2169"/>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Otobiyodizel ve Yakıt Biyodizel</w:t>
            </w:r>
          </w:p>
        </w:tc>
        <w:tc>
          <w:tcPr>
            <w:tcW w:type="dxa" w:w="1959"/>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w:t>
            </w:r>
          </w:p>
        </w:tc>
        <w:tc>
          <w:tcPr>
            <w:tcW w:type="dxa" w:w="1889"/>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27.0</w:t>
            </w:r>
          </w:p>
        </w:tc>
        <w:tc>
          <w:tcPr>
            <w:tcW w:type="dxa" w:w="3847"/>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IPCC 2006 Kılavuzu (sadece NKD)</w:t>
            </w:r>
          </w:p>
        </w:tc>
      </w:tr>
      <w:tr>
        <w:trPr>
          <w:cantSplit/>
        </w:trPr>
        <w:tc>
          <w:tcPr>
            <w:tcW w:type="dxa" w:w="2169"/>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Diğer Sıvı Biyoyakıtlar</w:t>
            </w:r>
          </w:p>
        </w:tc>
        <w:tc>
          <w:tcPr>
            <w:tcW w:type="dxa" w:w="1959"/>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w:t>
            </w:r>
          </w:p>
        </w:tc>
        <w:tc>
          <w:tcPr>
            <w:tcW w:type="dxa" w:w="1889"/>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27.4</w:t>
            </w:r>
          </w:p>
        </w:tc>
        <w:tc>
          <w:tcPr>
            <w:tcW w:type="dxa" w:w="3847"/>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IPCC 2006 Kılavuzu (sadece NKD)</w:t>
            </w:r>
          </w:p>
        </w:tc>
      </w:tr>
      <w:tr>
        <w:trPr>
          <w:cantSplit/>
        </w:trPr>
        <w:tc>
          <w:tcPr>
            <w:tcW w:type="dxa" w:w="2169"/>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Deponi Gazı</w:t>
            </w:r>
          </w:p>
        </w:tc>
        <w:tc>
          <w:tcPr>
            <w:tcW w:type="dxa" w:w="1959"/>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w:t>
            </w:r>
          </w:p>
        </w:tc>
        <w:tc>
          <w:tcPr>
            <w:tcW w:type="dxa" w:w="1889"/>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50.4</w:t>
            </w:r>
          </w:p>
        </w:tc>
        <w:tc>
          <w:tcPr>
            <w:tcW w:type="dxa" w:w="3847"/>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IPCC 2006 Kılavuzu (sadece NKD)</w:t>
            </w:r>
          </w:p>
        </w:tc>
      </w:tr>
      <w:tr>
        <w:trPr>
          <w:cantSplit/>
        </w:trPr>
        <w:tc>
          <w:tcPr>
            <w:tcW w:type="dxa" w:w="2169"/>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Arıtma Çamuru Gazı</w:t>
            </w:r>
          </w:p>
        </w:tc>
        <w:tc>
          <w:tcPr>
            <w:tcW w:type="dxa" w:w="1959"/>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w:t>
            </w:r>
          </w:p>
        </w:tc>
        <w:tc>
          <w:tcPr>
            <w:tcW w:type="dxa" w:w="1889"/>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50.4</w:t>
            </w:r>
          </w:p>
        </w:tc>
        <w:tc>
          <w:tcPr>
            <w:tcW w:type="dxa" w:w="3847"/>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IPCC 2006 Kılavuzu (sadece NKD)</w:t>
            </w:r>
          </w:p>
        </w:tc>
      </w:tr>
      <w:tr>
        <w:trPr>
          <w:cantSplit/>
        </w:trPr>
        <w:tc>
          <w:tcPr>
            <w:tcW w:type="dxa" w:w="2169"/>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Diğer Biyogazlar</w:t>
            </w:r>
          </w:p>
        </w:tc>
        <w:tc>
          <w:tcPr>
            <w:tcW w:type="dxa" w:w="1959"/>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w:t>
            </w:r>
          </w:p>
        </w:tc>
        <w:tc>
          <w:tcPr>
            <w:tcW w:type="dxa" w:w="1889"/>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50.4</w:t>
            </w:r>
          </w:p>
        </w:tc>
        <w:tc>
          <w:tcPr>
            <w:tcW w:type="dxa" w:w="3847"/>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IPCC 2006 Kılavuzu (sadece NKD)</w:t>
            </w:r>
          </w:p>
        </w:tc>
      </w:tr>
      <w:tr>
        <w:trPr>
          <w:cantSplit/>
        </w:trPr>
        <w:tc>
          <w:tcPr>
            <w:tcW w:type="dxa" w:w="2169"/>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Atık Lastikler</w:t>
            </w:r>
          </w:p>
        </w:tc>
        <w:tc>
          <w:tcPr>
            <w:tcW w:type="dxa" w:w="1959"/>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85.0</w:t>
            </w:r>
          </w:p>
        </w:tc>
        <w:tc>
          <w:tcPr>
            <w:tcW w:type="dxa" w:w="1889"/>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n.a.</w:t>
            </w:r>
          </w:p>
        </w:tc>
        <w:tc>
          <w:tcPr>
            <w:tcW w:type="dxa" w:w="3847"/>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İş Dünyası ve Sürdürülebilir Kalkınma Derneği – Çimento Sürdürülebilirlik Girişimi</w:t>
            </w:r>
          </w:p>
        </w:tc>
      </w:tr>
      <w:tr>
        <w:trPr>
          <w:cantSplit/>
        </w:trPr>
        <w:tc>
          <w:tcPr>
            <w:tcW w:type="dxa" w:w="2169"/>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Karbonmonoksit</w:t>
            </w:r>
          </w:p>
        </w:tc>
        <w:tc>
          <w:tcPr>
            <w:tcW w:type="dxa" w:w="1959"/>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155.2 1</w:t>
            </w:r>
          </w:p>
        </w:tc>
        <w:tc>
          <w:tcPr>
            <w:tcW w:type="dxa" w:w="1889"/>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10.1</w:t>
            </w:r>
          </w:p>
        </w:tc>
        <w:tc>
          <w:tcPr>
            <w:tcW w:type="dxa" w:w="3847"/>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J. Falbe ve M. Regitz, Römpp Chemie Lexikon, Stuttgart, 1995</w:t>
            </w:r>
          </w:p>
        </w:tc>
      </w:tr>
      <w:tr>
        <w:trPr>
          <w:cantSplit/>
        </w:trPr>
        <w:tc>
          <w:tcPr>
            <w:tcW w:type="dxa" w:w="2169"/>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Metan</w:t>
            </w:r>
          </w:p>
        </w:tc>
        <w:tc>
          <w:tcPr>
            <w:tcW w:type="dxa" w:w="1959"/>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54.9 2</w:t>
            </w:r>
          </w:p>
        </w:tc>
        <w:tc>
          <w:tcPr>
            <w:tcW w:type="dxa" w:w="1889"/>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50.0</w:t>
            </w:r>
          </w:p>
        </w:tc>
        <w:tc>
          <w:tcPr>
            <w:tcW w:type="dxa" w:w="3847"/>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J. Falbe ve M. Regitz, Römpp Chemie Lexikon, Stuttgart, 1995</w:t>
            </w:r>
          </w:p>
        </w:tc>
      </w:tr>
    </w:tbl>
    <w:p>
      <w:pPr>
        <w:pStyle w:val="AnnexSubheading"/>
      </w:pPr>
      <w:r>
        <w:rPr>
          <w:rFonts w:ascii="Avenir Light" w:hAnsi="Avenir Light" w:eastAsia="Avenir Light" w:cs="Avenir Light"/>
          <w:b w:val="0"/>
          <w:i w:val="0"/>
          <w:color w:val="0D5F31"/>
          <w:sz w:val="21"/>
        </w:rPr>
        <w:t>110.12 TJ/t NKD değerine dayalıdır</w:t>
      </w:r>
    </w:p>
    <w:p>
      <w:pPr>
        <w:pStyle w:val="ArticleText"/>
      </w:pPr>
      <w:r>
        <w:rPr>
          <w:rFonts w:ascii="Avenir Light" w:hAnsi="Avenir Light" w:eastAsia="Avenir Light" w:cs="Avenir Light"/>
          <w:b w:val="0"/>
          <w:i w:val="0"/>
          <w:color w:val="172126"/>
          <w:sz w:val="19"/>
        </w:rPr>
        <w:t>2 50.01 TJ/t NKD değerine dayalıdır</w:t>
      </w:r>
    </w:p>
    <w:p>
      <w:pPr>
        <w:pStyle w:val="AnnexSubheading"/>
      </w:pPr>
      <w:r>
        <w:rPr>
          <w:rFonts w:ascii="Avenir Light" w:hAnsi="Avenir Light" w:eastAsia="Avenir Light" w:cs="Avenir Light"/>
          <w:b w:val="0"/>
          <w:i w:val="0"/>
          <w:color w:val="0D5F31"/>
          <w:sz w:val="21"/>
        </w:rPr>
        <w:t>2. Proses Emisyonları ile İlgili Emisyon Faktörleri</w:t>
      </w:r>
    </w:p>
    <w:p>
      <w:pPr>
        <w:pStyle w:val="ArticleText"/>
      </w:pPr>
      <w:r>
        <w:rPr>
          <w:rFonts w:ascii="Avenir Light" w:hAnsi="Avenir Light" w:eastAsia="Avenir Light" w:cs="Avenir Light"/>
          <w:b w:val="0"/>
          <w:i w:val="0"/>
          <w:color w:val="172126"/>
          <w:sz w:val="19"/>
        </w:rPr>
        <w:t>Tablo 5.2: Karbonat Ayrışmasından Doğan Proses Emisyonları İçin Stokiyometrik Emisyon Faktörleri (Yöntem A)</w:t>
      </w:r>
    </w:p>
    <w:tbl>
      <w:tblPr>
        <w:tblStyle w:val="TableGrid"/>
        <w:tblW w:type="dxa" w:w="9864"/>
        <w:jc w:val="left"/>
        <w:tblLayout w:type="fixed"/>
        <w:tblLook w:firstColumn="1" w:firstRow="1" w:lastColumn="0" w:lastRow="0" w:noHBand="0" w:noVBand="1" w:val="04A0"/>
        <w:tblInd w:w="120" w:type="dxa"/>
      </w:tblPr>
      <w:tblGrid>
        <w:gridCol w:w="2099"/>
        <w:gridCol w:w="7765"/>
      </w:tblGrid>
      <w:tr>
        <w:trPr>
          <w:tblHeader/>
          <w:cantSplit/>
        </w:trPr>
        <w:tc>
          <w:tcPr>
            <w:tcW w:type="dxa" w:w="2099"/>
            <w:vAlign w:val="center"/>
            <w:shd w:fill="0D5F31"/>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FFFFFF"/>
                <w:sz w:val="16"/>
              </w:rPr>
              <w:t>Karbonat</w:t>
            </w:r>
          </w:p>
        </w:tc>
        <w:tc>
          <w:tcPr>
            <w:tcW w:type="dxa" w:w="7765"/>
            <w:vAlign w:val="center"/>
            <w:shd w:fill="0D5F31"/>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FFFFFF"/>
                <w:sz w:val="16"/>
              </w:rPr>
              <w:t>Emisyon Faktörü [t CO / t Karbonat] 2</w:t>
            </w:r>
          </w:p>
        </w:tc>
      </w:tr>
      <w:tr>
        <w:trPr>
          <w:cantSplit/>
        </w:trPr>
        <w:tc>
          <w:tcPr>
            <w:tcW w:type="dxa" w:w="2099"/>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CaCO 3</w:t>
            </w:r>
          </w:p>
        </w:tc>
        <w:tc>
          <w:tcPr>
            <w:tcW w:type="dxa" w:w="7765"/>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0.440</w:t>
            </w:r>
          </w:p>
        </w:tc>
      </w:tr>
      <w:tr>
        <w:trPr>
          <w:cantSplit/>
        </w:trPr>
        <w:tc>
          <w:tcPr>
            <w:tcW w:type="dxa" w:w="2099"/>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MgCO 3</w:t>
            </w:r>
          </w:p>
        </w:tc>
        <w:tc>
          <w:tcPr>
            <w:tcW w:type="dxa" w:w="7765"/>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0.522</w:t>
            </w:r>
          </w:p>
        </w:tc>
      </w:tr>
      <w:tr>
        <w:trPr>
          <w:cantSplit/>
        </w:trPr>
        <w:tc>
          <w:tcPr>
            <w:tcW w:type="dxa" w:w="2099"/>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Na CO 2 3</w:t>
            </w:r>
          </w:p>
        </w:tc>
        <w:tc>
          <w:tcPr>
            <w:tcW w:type="dxa" w:w="7765"/>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0.415</w:t>
            </w:r>
          </w:p>
        </w:tc>
      </w:tr>
      <w:tr>
        <w:trPr>
          <w:cantSplit/>
        </w:trPr>
        <w:tc>
          <w:tcPr>
            <w:tcW w:type="dxa" w:w="2099"/>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BaCO 3</w:t>
            </w:r>
          </w:p>
        </w:tc>
        <w:tc>
          <w:tcPr>
            <w:tcW w:type="dxa" w:w="7765"/>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0.223</w:t>
            </w:r>
          </w:p>
        </w:tc>
      </w:tr>
    </w:tbl>
    <w:tbl>
      <w:tblPr>
        <w:tblStyle w:val="TableGrid"/>
        <w:tblW w:type="dxa" w:w="9864"/>
        <w:jc w:val="left"/>
        <w:tblLayout w:type="fixed"/>
        <w:tblLook w:firstColumn="1" w:firstRow="1" w:lastColumn="0" w:lastRow="0" w:noHBand="0" w:noVBand="1" w:val="04A0"/>
        <w:tblInd w:w="120" w:type="dxa"/>
      </w:tblPr>
      <w:tblGrid>
        <w:gridCol w:w="1518"/>
        <w:gridCol w:w="8346"/>
      </w:tblGrid>
      <w:tr>
        <w:trPr>
          <w:tblHeader/>
          <w:cantSplit/>
        </w:trPr>
        <w:tc>
          <w:tcPr>
            <w:tcW w:type="dxa" w:w="1518"/>
            <w:vAlign w:val="center"/>
            <w:shd w:fill="0D5F31"/>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FFFFFF"/>
                <w:sz w:val="16"/>
              </w:rPr>
              <w:t>Li CO 2 3</w:t>
            </w:r>
          </w:p>
        </w:tc>
        <w:tc>
          <w:tcPr>
            <w:tcW w:type="dxa" w:w="8346"/>
            <w:vAlign w:val="center"/>
            <w:shd w:fill="0D5F31"/>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FFFFFF"/>
                <w:sz w:val="16"/>
              </w:rPr>
              <w:t>0.596</w:t>
            </w:r>
          </w:p>
        </w:tc>
      </w:tr>
      <w:tr>
        <w:trPr>
          <w:cantSplit/>
        </w:trPr>
        <w:tc>
          <w:tcPr>
            <w:tcW w:type="dxa" w:w="151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K CO 2 3</w:t>
            </w:r>
          </w:p>
        </w:tc>
        <w:tc>
          <w:tcPr>
            <w:tcW w:type="dxa" w:w="834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0.318</w:t>
            </w:r>
          </w:p>
        </w:tc>
      </w:tr>
      <w:tr>
        <w:trPr>
          <w:cantSplit/>
        </w:trPr>
        <w:tc>
          <w:tcPr>
            <w:tcW w:type="dxa" w:w="151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SrCO 3</w:t>
            </w:r>
          </w:p>
        </w:tc>
        <w:tc>
          <w:tcPr>
            <w:tcW w:type="dxa" w:w="834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0.298</w:t>
            </w:r>
          </w:p>
        </w:tc>
      </w:tr>
      <w:tr>
        <w:trPr>
          <w:cantSplit/>
        </w:trPr>
        <w:tc>
          <w:tcPr>
            <w:tcW w:type="dxa" w:w="151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NaHCO 3</w:t>
            </w:r>
          </w:p>
        </w:tc>
        <w:tc>
          <w:tcPr>
            <w:tcW w:type="dxa" w:w="834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0.524</w:t>
            </w:r>
          </w:p>
        </w:tc>
      </w:tr>
      <w:tr>
        <w:trPr>
          <w:cantSplit/>
        </w:trPr>
        <w:tc>
          <w:tcPr>
            <w:tcW w:type="dxa" w:w="151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FeCO 3</w:t>
            </w:r>
          </w:p>
        </w:tc>
        <w:tc>
          <w:tcPr>
            <w:tcW w:type="dxa" w:w="834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0.380</w:t>
            </w:r>
          </w:p>
        </w:tc>
      </w:tr>
      <w:tr>
        <w:trPr>
          <w:cantSplit/>
        </w:trPr>
        <w:tc>
          <w:tcPr>
            <w:tcW w:type="dxa" w:w="151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Genel</w:t>
            </w:r>
          </w:p>
        </w:tc>
        <w:tc>
          <w:tcPr>
            <w:tcW w:type="dxa" w:w="834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Emisyon faktörü = [M(CO )] / { Y * [M(x)] + Z * [M(CO )] } 2 32- X = metal M(x) = X’in [g/mol] cinsinde moleküler ağırlığı M(CO ) = CO ’nin [g/mol] cinsinde moleküler ağırlığı 2 2 M(CO 2-) = CO 2-’nin [g/mol] cinsinde moleküler ağırlığı 3 3 Y = X’in stokiyometrik sayısı Z = CO 2-’nin stokiyometrik sayısı 3</w:t>
            </w:r>
          </w:p>
        </w:tc>
      </w:tr>
    </w:tbl>
    <w:p>
      <w:pPr>
        <w:pStyle w:val="ArticleText"/>
      </w:pPr>
      <w:r>
        <w:rPr>
          <w:rFonts w:ascii="Avenir Light" w:hAnsi="Avenir Light" w:eastAsia="Avenir Light" w:cs="Avenir Light"/>
          <w:b w:val="0"/>
          <w:i w:val="0"/>
          <w:color w:val="172126"/>
          <w:sz w:val="19"/>
        </w:rPr>
        <w:t>Tablo 5.3: Alkali Toprak Oksitlerine Dayanan Karbonat Ayrışmasından Doğan Proses Emisyonları için Stokiyometrik Emisyon Faktörleri (Yöntem B)</w:t>
      </w:r>
    </w:p>
    <w:tbl>
      <w:tblPr>
        <w:tblStyle w:val="TableGrid"/>
        <w:tblW w:type="dxa" w:w="9864"/>
        <w:jc w:val="left"/>
        <w:tblLayout w:type="fixed"/>
        <w:tblLook w:firstColumn="1" w:firstRow="1" w:lastColumn="0" w:lastRow="0" w:noHBand="0" w:noVBand="1" w:val="04A0"/>
        <w:tblInd w:w="120" w:type="dxa"/>
      </w:tblPr>
      <w:tblGrid>
        <w:gridCol w:w="2001"/>
        <w:gridCol w:w="7863"/>
      </w:tblGrid>
      <w:tr>
        <w:trPr>
          <w:tblHeader/>
          <w:cantSplit/>
        </w:trPr>
        <w:tc>
          <w:tcPr>
            <w:tcW w:type="dxa" w:w="2001"/>
            <w:vAlign w:val="center"/>
            <w:shd w:fill="0D5F31"/>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FFFFFF"/>
                <w:sz w:val="16"/>
              </w:rPr>
              <w:t>Oksit</w:t>
            </w:r>
          </w:p>
        </w:tc>
        <w:tc>
          <w:tcPr>
            <w:tcW w:type="dxa" w:w="7863"/>
            <w:vAlign w:val="center"/>
            <w:shd w:fill="0D5F31"/>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FFFFFF"/>
                <w:sz w:val="16"/>
              </w:rPr>
              <w:t>Emisyon Faktörü [t CO / t Oksit] 2</w:t>
            </w:r>
          </w:p>
        </w:tc>
      </w:tr>
      <w:tr>
        <w:trPr>
          <w:cantSplit/>
        </w:trPr>
        <w:tc>
          <w:tcPr>
            <w:tcW w:type="dxa" w:w="200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CaO</w:t>
            </w:r>
          </w:p>
        </w:tc>
        <w:tc>
          <w:tcPr>
            <w:tcW w:type="dxa" w:w="7863"/>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0.785</w:t>
            </w:r>
          </w:p>
        </w:tc>
      </w:tr>
      <w:tr>
        <w:trPr>
          <w:cantSplit/>
        </w:trPr>
        <w:tc>
          <w:tcPr>
            <w:tcW w:type="dxa" w:w="200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MgO</w:t>
            </w:r>
          </w:p>
        </w:tc>
        <w:tc>
          <w:tcPr>
            <w:tcW w:type="dxa" w:w="7863"/>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1.092</w:t>
            </w:r>
          </w:p>
        </w:tc>
      </w:tr>
      <w:tr>
        <w:trPr>
          <w:cantSplit/>
        </w:trPr>
        <w:tc>
          <w:tcPr>
            <w:tcW w:type="dxa" w:w="200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BaO</w:t>
            </w:r>
          </w:p>
        </w:tc>
        <w:tc>
          <w:tcPr>
            <w:tcW w:type="dxa" w:w="7863"/>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0.287</w:t>
            </w:r>
          </w:p>
        </w:tc>
      </w:tr>
      <w:tr>
        <w:trPr>
          <w:cantSplit/>
        </w:trPr>
        <w:tc>
          <w:tcPr>
            <w:tcW w:type="dxa" w:w="200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Genel: X O Y Z</w:t>
            </w:r>
          </w:p>
        </w:tc>
        <w:tc>
          <w:tcPr>
            <w:tcW w:type="dxa" w:w="7863"/>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Emisyon faktörü =[M(CO )] / { Y * [M(x)] + Z * [M(O)] 2 } X = alkali toprak veya alkali maden M(x) = X’in [g/mol] cinsinde moleküler ağırlığı M(CO ) = CO ’nin [g/mol] cinsinde moleküler ağırlığı 2 2 M(O) = O’nun [g/mol] cinsinde moleküler ağırlığı Y = X’in stokiyometrik sayısı = 1 (alkali toprak madenleri için) = 2 ( alkali madenleri için) Z = O’nun stokiyometrik sayısı = 1</w:t>
            </w:r>
          </w:p>
        </w:tc>
      </w:tr>
    </w:tbl>
    <w:p>
      <w:pPr>
        <w:pStyle w:val="ArticleText"/>
      </w:pPr>
      <w:r>
        <w:rPr>
          <w:rFonts w:ascii="Avenir Light" w:hAnsi="Avenir Light" w:eastAsia="Avenir Light" w:cs="Avenir Light"/>
          <w:b w:val="0"/>
          <w:i w:val="0"/>
          <w:color w:val="172126"/>
          <w:sz w:val="19"/>
        </w:rPr>
        <w:t>Tablo 5.4: Diğer İşlem Malzemelerinden İşlem Emisyonları için Stokiyometrik Emisyon Faktörleri (demir ve çelik üretimi ve demir içeren madenlerin işlenmesi) (IPCC 2006 Kılavuzu)</w:t>
      </w:r>
    </w:p>
    <w:tbl>
      <w:tblPr>
        <w:tblStyle w:val="TableGrid"/>
        <w:tblW w:type="dxa" w:w="9864"/>
        <w:jc w:val="left"/>
        <w:tblLayout w:type="fixed"/>
        <w:tblLook w:firstColumn="1" w:firstRow="1" w:lastColumn="0" w:lastRow="0" w:noHBand="0" w:noVBand="1" w:val="04A0"/>
        <w:tblInd w:w="120" w:type="dxa"/>
      </w:tblPr>
      <w:tblGrid>
        <w:gridCol w:w="3288"/>
        <w:gridCol w:w="3035"/>
        <w:gridCol w:w="3541"/>
      </w:tblGrid>
      <w:tr>
        <w:trPr>
          <w:tblHeader/>
          <w:cantSplit/>
        </w:trPr>
        <w:tc>
          <w:tcPr>
            <w:tcW w:type="dxa" w:w="3288"/>
            <w:vAlign w:val="center"/>
            <w:shd w:fill="0D5F31"/>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FFFFFF"/>
                <w:sz w:val="16"/>
              </w:rPr>
              <w:t>Giriş veya Çıkış Malzemesi</w:t>
            </w:r>
          </w:p>
        </w:tc>
        <w:tc>
          <w:tcPr>
            <w:tcW w:type="dxa" w:w="3035"/>
            <w:vAlign w:val="center"/>
            <w:shd w:fill="0D5F31"/>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FFFFFF"/>
                <w:sz w:val="16"/>
              </w:rPr>
              <w:t>Karbon İçeriği (t C / t)</w:t>
            </w:r>
          </w:p>
        </w:tc>
        <w:tc>
          <w:tcPr>
            <w:tcW w:type="dxa" w:w="3541"/>
            <w:vAlign w:val="center"/>
            <w:shd w:fill="0D5F31"/>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FFFFFF"/>
                <w:sz w:val="16"/>
              </w:rPr>
              <w:t>Emisyon Faktörü (t CO / t) 2</w:t>
            </w:r>
          </w:p>
        </w:tc>
      </w:tr>
      <w:tr>
        <w:trPr>
          <w:cantSplit/>
        </w:trPr>
        <w:tc>
          <w:tcPr>
            <w:tcW w:type="dxa" w:w="328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Doğrudan Azaltılmış Demir</w:t>
            </w:r>
          </w:p>
        </w:tc>
        <w:tc>
          <w:tcPr>
            <w:tcW w:type="dxa" w:w="3035"/>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0.0191</w:t>
            </w:r>
          </w:p>
        </w:tc>
        <w:tc>
          <w:tcPr>
            <w:tcW w:type="dxa" w:w="354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0.07</w:t>
            </w:r>
          </w:p>
        </w:tc>
      </w:tr>
      <w:tr>
        <w:trPr>
          <w:cantSplit/>
        </w:trPr>
        <w:tc>
          <w:tcPr>
            <w:tcW w:type="dxa" w:w="328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EAO Karbon Elektrotları</w:t>
            </w:r>
          </w:p>
        </w:tc>
        <w:tc>
          <w:tcPr>
            <w:tcW w:type="dxa" w:w="3035"/>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0.8188</w:t>
            </w:r>
          </w:p>
        </w:tc>
        <w:tc>
          <w:tcPr>
            <w:tcW w:type="dxa" w:w="354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3.00</w:t>
            </w:r>
          </w:p>
        </w:tc>
      </w:tr>
      <w:tr>
        <w:trPr>
          <w:cantSplit/>
        </w:trPr>
        <w:tc>
          <w:tcPr>
            <w:tcW w:type="dxa" w:w="328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EAO Yüklü Karbon</w:t>
            </w:r>
          </w:p>
        </w:tc>
        <w:tc>
          <w:tcPr>
            <w:tcW w:type="dxa" w:w="3035"/>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0.8297</w:t>
            </w:r>
          </w:p>
        </w:tc>
        <w:tc>
          <w:tcPr>
            <w:tcW w:type="dxa" w:w="354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3.04</w:t>
            </w:r>
          </w:p>
        </w:tc>
      </w:tr>
      <w:tr>
        <w:trPr>
          <w:cantSplit/>
        </w:trPr>
        <w:tc>
          <w:tcPr>
            <w:tcW w:type="dxa" w:w="328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Sıcak Briketlenmiş Demir</w:t>
            </w:r>
          </w:p>
        </w:tc>
        <w:tc>
          <w:tcPr>
            <w:tcW w:type="dxa" w:w="3035"/>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0.0191</w:t>
            </w:r>
          </w:p>
        </w:tc>
        <w:tc>
          <w:tcPr>
            <w:tcW w:type="dxa" w:w="354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0.07</w:t>
            </w:r>
          </w:p>
        </w:tc>
      </w:tr>
      <w:tr>
        <w:trPr>
          <w:cantSplit/>
        </w:trPr>
        <w:tc>
          <w:tcPr>
            <w:tcW w:type="dxa" w:w="328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Oksijen Çelik Fırın Gazı</w:t>
            </w:r>
          </w:p>
        </w:tc>
        <w:tc>
          <w:tcPr>
            <w:tcW w:type="dxa" w:w="3035"/>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0.3493</w:t>
            </w:r>
          </w:p>
        </w:tc>
        <w:tc>
          <w:tcPr>
            <w:tcW w:type="dxa" w:w="354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1.28</w:t>
            </w:r>
          </w:p>
        </w:tc>
      </w:tr>
      <w:tr>
        <w:trPr>
          <w:cantSplit/>
        </w:trPr>
        <w:tc>
          <w:tcPr>
            <w:tcW w:type="dxa" w:w="328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Petrol Koku</w:t>
            </w:r>
          </w:p>
        </w:tc>
        <w:tc>
          <w:tcPr>
            <w:tcW w:type="dxa" w:w="3035"/>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0.8706</w:t>
            </w:r>
          </w:p>
        </w:tc>
        <w:tc>
          <w:tcPr>
            <w:tcW w:type="dxa" w:w="354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3.19</w:t>
            </w:r>
          </w:p>
        </w:tc>
      </w:tr>
      <w:tr>
        <w:trPr>
          <w:cantSplit/>
        </w:trPr>
        <w:tc>
          <w:tcPr>
            <w:tcW w:type="dxa" w:w="328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Satın Alınan Dökme Demir</w:t>
            </w:r>
          </w:p>
        </w:tc>
        <w:tc>
          <w:tcPr>
            <w:tcW w:type="dxa" w:w="3035"/>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0.0409</w:t>
            </w:r>
          </w:p>
        </w:tc>
        <w:tc>
          <w:tcPr>
            <w:tcW w:type="dxa" w:w="354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0.15</w:t>
            </w:r>
          </w:p>
        </w:tc>
      </w:tr>
      <w:tr>
        <w:trPr>
          <w:cantSplit/>
        </w:trPr>
        <w:tc>
          <w:tcPr>
            <w:tcW w:type="dxa" w:w="328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Hurda Demir</w:t>
            </w:r>
          </w:p>
        </w:tc>
        <w:tc>
          <w:tcPr>
            <w:tcW w:type="dxa" w:w="3035"/>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0.0409</w:t>
            </w:r>
          </w:p>
        </w:tc>
        <w:tc>
          <w:tcPr>
            <w:tcW w:type="dxa" w:w="354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0.15</w:t>
            </w:r>
          </w:p>
        </w:tc>
      </w:tr>
      <w:tr>
        <w:trPr>
          <w:cantSplit/>
        </w:trPr>
        <w:tc>
          <w:tcPr>
            <w:tcW w:type="dxa" w:w="328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Çelik</w:t>
            </w:r>
          </w:p>
        </w:tc>
        <w:tc>
          <w:tcPr>
            <w:tcW w:type="dxa" w:w="3035"/>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0.0109</w:t>
            </w:r>
          </w:p>
        </w:tc>
        <w:tc>
          <w:tcPr>
            <w:tcW w:type="dxa" w:w="354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0.04</w:t>
            </w:r>
          </w:p>
        </w:tc>
      </w:tr>
    </w:tbl>
    <w:p>
      <w:pPr>
        <w:pStyle w:val="ArticleText"/>
      </w:pPr>
      <w:r>
        <w:rPr>
          <w:rFonts w:ascii="Avenir Light" w:hAnsi="Avenir Light" w:eastAsia="Avenir Light" w:cs="Avenir Light"/>
          <w:b w:val="0"/>
          <w:i w:val="0"/>
          <w:color w:val="172126"/>
          <w:sz w:val="19"/>
        </w:rPr>
        <w:t>Tablo 5.5: Diğer İşlem Malzemelerinden İşlem Emisyonları İçin Stokiyometrik Emisyon Faktörleri (Yığın Organik Kimyasallar) (IPCC 2006 Kılavuzu)</w:t>
      </w:r>
    </w:p>
    <w:tbl>
      <w:tblPr>
        <w:tblStyle w:val="TableGrid"/>
        <w:tblW w:type="dxa" w:w="9864"/>
        <w:jc w:val="left"/>
        <w:tblLayout w:type="fixed"/>
        <w:tblLook w:firstColumn="1" w:firstRow="1" w:lastColumn="0" w:lastRow="0" w:noHBand="0" w:noVBand="1" w:val="04A0"/>
        <w:tblInd w:w="120" w:type="dxa"/>
      </w:tblPr>
      <w:tblGrid>
        <w:gridCol w:w="2391"/>
        <w:gridCol w:w="3288"/>
        <w:gridCol w:w="4185"/>
      </w:tblGrid>
      <w:tr>
        <w:trPr>
          <w:tblHeader/>
          <w:cantSplit/>
        </w:trPr>
        <w:tc>
          <w:tcPr>
            <w:tcW w:type="dxa" w:w="2391"/>
            <w:vAlign w:val="center"/>
            <w:shd w:fill="0D5F31"/>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FFFFFF"/>
                <w:sz w:val="16"/>
              </w:rPr>
              <w:t>Madde</w:t>
            </w:r>
          </w:p>
        </w:tc>
        <w:tc>
          <w:tcPr>
            <w:tcW w:type="dxa" w:w="3288"/>
            <w:vAlign w:val="center"/>
            <w:shd w:fill="0D5F31"/>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FFFFFF"/>
                <w:sz w:val="16"/>
              </w:rPr>
              <w:t>Karbon İçeriği (t C/t)</w:t>
            </w:r>
          </w:p>
        </w:tc>
        <w:tc>
          <w:tcPr>
            <w:tcW w:type="dxa" w:w="4185"/>
            <w:vAlign w:val="center"/>
            <w:shd w:fill="0D5F31"/>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FFFFFF"/>
                <w:sz w:val="16"/>
              </w:rPr>
              <w:t>Emisyon Faktörü (t CO / t) 2</w:t>
            </w:r>
          </w:p>
        </w:tc>
      </w:tr>
      <w:tr>
        <w:trPr>
          <w:cantSplit/>
        </w:trPr>
        <w:tc>
          <w:tcPr>
            <w:tcW w:type="dxa" w:w="239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Asetonitril</w:t>
            </w:r>
          </w:p>
        </w:tc>
        <w:tc>
          <w:tcPr>
            <w:tcW w:type="dxa" w:w="328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0.5852</w:t>
            </w:r>
          </w:p>
        </w:tc>
        <w:tc>
          <w:tcPr>
            <w:tcW w:type="dxa" w:w="4185"/>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2.144</w:t>
            </w:r>
          </w:p>
        </w:tc>
      </w:tr>
      <w:tr>
        <w:trPr>
          <w:cantSplit/>
        </w:trPr>
        <w:tc>
          <w:tcPr>
            <w:tcW w:type="dxa" w:w="239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Akrilonitril</w:t>
            </w:r>
          </w:p>
        </w:tc>
        <w:tc>
          <w:tcPr>
            <w:tcW w:type="dxa" w:w="328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0.6664</w:t>
            </w:r>
          </w:p>
        </w:tc>
        <w:tc>
          <w:tcPr>
            <w:tcW w:type="dxa" w:w="4185"/>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2.442</w:t>
            </w:r>
          </w:p>
        </w:tc>
      </w:tr>
      <w:tr>
        <w:trPr>
          <w:cantSplit/>
        </w:trPr>
        <w:tc>
          <w:tcPr>
            <w:tcW w:type="dxa" w:w="239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Butadiyen</w:t>
            </w:r>
          </w:p>
        </w:tc>
        <w:tc>
          <w:tcPr>
            <w:tcW w:type="dxa" w:w="328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0.888</w:t>
            </w:r>
          </w:p>
        </w:tc>
        <w:tc>
          <w:tcPr>
            <w:tcW w:type="dxa" w:w="4185"/>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3.254</w:t>
            </w:r>
          </w:p>
        </w:tc>
      </w:tr>
      <w:tr>
        <w:trPr>
          <w:cantSplit/>
        </w:trPr>
        <w:tc>
          <w:tcPr>
            <w:tcW w:type="dxa" w:w="239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Karbon Siyahı</w:t>
            </w:r>
          </w:p>
        </w:tc>
        <w:tc>
          <w:tcPr>
            <w:tcW w:type="dxa" w:w="328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0.97</w:t>
            </w:r>
          </w:p>
        </w:tc>
        <w:tc>
          <w:tcPr>
            <w:tcW w:type="dxa" w:w="4185"/>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3.554</w:t>
            </w:r>
          </w:p>
        </w:tc>
      </w:tr>
      <w:tr>
        <w:trPr>
          <w:cantSplit/>
        </w:trPr>
        <w:tc>
          <w:tcPr>
            <w:tcW w:type="dxa" w:w="239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Etilen</w:t>
            </w:r>
          </w:p>
        </w:tc>
        <w:tc>
          <w:tcPr>
            <w:tcW w:type="dxa" w:w="328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0.856</w:t>
            </w:r>
          </w:p>
        </w:tc>
        <w:tc>
          <w:tcPr>
            <w:tcW w:type="dxa" w:w="4185"/>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3.136</w:t>
            </w:r>
          </w:p>
        </w:tc>
      </w:tr>
      <w:tr>
        <w:trPr>
          <w:cantSplit/>
        </w:trPr>
        <w:tc>
          <w:tcPr>
            <w:tcW w:type="dxa" w:w="239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Etilen Diklorit</w:t>
            </w:r>
          </w:p>
        </w:tc>
        <w:tc>
          <w:tcPr>
            <w:tcW w:type="dxa" w:w="328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0.245</w:t>
            </w:r>
          </w:p>
        </w:tc>
        <w:tc>
          <w:tcPr>
            <w:tcW w:type="dxa" w:w="4185"/>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0.898</w:t>
            </w:r>
          </w:p>
        </w:tc>
      </w:tr>
      <w:tr>
        <w:trPr>
          <w:cantSplit/>
        </w:trPr>
        <w:tc>
          <w:tcPr>
            <w:tcW w:type="dxa" w:w="239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Etilen Glikol</w:t>
            </w:r>
          </w:p>
        </w:tc>
        <w:tc>
          <w:tcPr>
            <w:tcW w:type="dxa" w:w="328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0.387</w:t>
            </w:r>
          </w:p>
        </w:tc>
        <w:tc>
          <w:tcPr>
            <w:tcW w:type="dxa" w:w="4185"/>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1.418</w:t>
            </w:r>
          </w:p>
        </w:tc>
      </w:tr>
      <w:tr>
        <w:trPr>
          <w:cantSplit/>
        </w:trPr>
        <w:tc>
          <w:tcPr>
            <w:tcW w:type="dxa" w:w="239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Etilen Oksit</w:t>
            </w:r>
          </w:p>
        </w:tc>
        <w:tc>
          <w:tcPr>
            <w:tcW w:type="dxa" w:w="328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0.545</w:t>
            </w:r>
          </w:p>
        </w:tc>
        <w:tc>
          <w:tcPr>
            <w:tcW w:type="dxa" w:w="4185"/>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1.997</w:t>
            </w:r>
          </w:p>
        </w:tc>
      </w:tr>
      <w:tr>
        <w:trPr>
          <w:cantSplit/>
        </w:trPr>
        <w:tc>
          <w:tcPr>
            <w:tcW w:type="dxa" w:w="239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Hidrojen Siyanür</w:t>
            </w:r>
          </w:p>
        </w:tc>
        <w:tc>
          <w:tcPr>
            <w:tcW w:type="dxa" w:w="328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0.4444</w:t>
            </w:r>
          </w:p>
        </w:tc>
        <w:tc>
          <w:tcPr>
            <w:tcW w:type="dxa" w:w="4185"/>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1.628</w:t>
            </w:r>
          </w:p>
        </w:tc>
      </w:tr>
    </w:tbl>
    <w:tbl>
      <w:tblPr>
        <w:tblStyle w:val="TableGrid"/>
        <w:tblW w:type="dxa" w:w="9864"/>
        <w:jc w:val="left"/>
        <w:tblLayout w:type="fixed"/>
        <w:tblLook w:firstColumn="1" w:firstRow="1" w:lastColumn="0" w:lastRow="0" w:noHBand="0" w:noVBand="1" w:val="04A0"/>
        <w:tblInd w:w="120" w:type="dxa"/>
      </w:tblPr>
      <w:tblGrid>
        <w:gridCol w:w="4932"/>
        <w:gridCol w:w="2466"/>
        <w:gridCol w:w="2466"/>
      </w:tblGrid>
      <w:tr>
        <w:trPr>
          <w:tblHeader/>
          <w:cantSplit/>
        </w:trPr>
        <w:tc>
          <w:tcPr>
            <w:tcW w:type="dxa" w:w="4932"/>
            <w:vAlign w:val="center"/>
            <w:shd w:fill="0D5F31"/>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FFFFFF"/>
                <w:sz w:val="16"/>
              </w:rPr>
              <w:t>Metanol</w:t>
            </w:r>
          </w:p>
        </w:tc>
        <w:tc>
          <w:tcPr>
            <w:tcW w:type="dxa" w:w="2466"/>
            <w:vAlign w:val="center"/>
            <w:shd w:fill="0D5F31"/>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FFFFFF"/>
                <w:sz w:val="16"/>
              </w:rPr>
              <w:t>0.375</w:t>
            </w:r>
          </w:p>
        </w:tc>
        <w:tc>
          <w:tcPr>
            <w:tcW w:type="dxa" w:w="2466"/>
            <w:vAlign w:val="center"/>
            <w:shd w:fill="0D5F31"/>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FFFFFF"/>
                <w:sz w:val="16"/>
              </w:rPr>
              <w:t>1.374</w:t>
            </w:r>
          </w:p>
        </w:tc>
      </w:tr>
      <w:tr>
        <w:trPr>
          <w:cantSplit/>
        </w:trPr>
        <w:tc>
          <w:tcPr>
            <w:tcW w:type="dxa" w:w="4932"/>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Metan</w:t>
            </w:r>
          </w:p>
        </w:tc>
        <w:tc>
          <w:tcPr>
            <w:tcW w:type="dxa" w:w="246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0.749</w:t>
            </w:r>
          </w:p>
        </w:tc>
        <w:tc>
          <w:tcPr>
            <w:tcW w:type="dxa" w:w="246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2.744</w:t>
            </w:r>
          </w:p>
        </w:tc>
      </w:tr>
      <w:tr>
        <w:trPr>
          <w:cantSplit/>
        </w:trPr>
        <w:tc>
          <w:tcPr>
            <w:tcW w:type="dxa" w:w="4932"/>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Propan</w:t>
            </w:r>
          </w:p>
        </w:tc>
        <w:tc>
          <w:tcPr>
            <w:tcW w:type="dxa" w:w="246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0.817</w:t>
            </w:r>
          </w:p>
        </w:tc>
        <w:tc>
          <w:tcPr>
            <w:tcW w:type="dxa" w:w="246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2.993</w:t>
            </w:r>
          </w:p>
        </w:tc>
      </w:tr>
      <w:tr>
        <w:trPr>
          <w:cantSplit/>
        </w:trPr>
        <w:tc>
          <w:tcPr>
            <w:tcW w:type="dxa" w:w="4932"/>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Propilen</w:t>
            </w:r>
          </w:p>
        </w:tc>
        <w:tc>
          <w:tcPr>
            <w:tcW w:type="dxa" w:w="246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0.8563</w:t>
            </w:r>
          </w:p>
        </w:tc>
        <w:tc>
          <w:tcPr>
            <w:tcW w:type="dxa" w:w="246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3.137</w:t>
            </w:r>
          </w:p>
        </w:tc>
      </w:tr>
      <w:tr>
        <w:trPr>
          <w:cantSplit/>
        </w:trPr>
        <w:tc>
          <w:tcPr>
            <w:tcW w:type="dxa" w:w="4932"/>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Vinil Klorid Monomer</w:t>
            </w:r>
          </w:p>
        </w:tc>
        <w:tc>
          <w:tcPr>
            <w:tcW w:type="dxa" w:w="246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0.384</w:t>
            </w:r>
          </w:p>
        </w:tc>
        <w:tc>
          <w:tcPr>
            <w:tcW w:type="dxa" w:w="246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1.407</w:t>
            </w:r>
          </w:p>
        </w:tc>
      </w:tr>
    </w:tbl>
    <w:p>
      <w:pPr>
        <w:pStyle w:val="AnnexSubheading"/>
      </w:pPr>
      <w:r>
        <w:rPr>
          <w:rFonts w:ascii="Avenir Light" w:hAnsi="Avenir Light" w:eastAsia="Avenir Light" w:cs="Avenir Light"/>
          <w:b w:val="0"/>
          <w:i w:val="0"/>
          <w:color w:val="0D5F31"/>
          <w:sz w:val="21"/>
        </w:rPr>
        <w:t>3. CO 2 Harici Sera Gazları İçin Küresel Isınma Potansiyelleri</w:t>
      </w:r>
    </w:p>
    <w:p>
      <w:pPr>
        <w:pStyle w:val="ArticleText"/>
      </w:pPr>
      <w:r>
        <w:rPr>
          <w:rFonts w:ascii="Avenir Light" w:hAnsi="Avenir Light" w:eastAsia="Avenir Light" w:cs="Avenir Light"/>
          <w:b w:val="0"/>
          <w:i w:val="0"/>
          <w:color w:val="172126"/>
          <w:sz w:val="19"/>
        </w:rPr>
        <w:t>Tablo 5.6: Küresel Isınma Potansiyelleri</w:t>
      </w:r>
    </w:p>
    <w:tbl>
      <w:tblPr>
        <w:tblStyle w:val="TableGrid"/>
        <w:tblW w:type="dxa" w:w="9864"/>
        <w:jc w:val="left"/>
        <w:tblLayout w:type="fixed"/>
        <w:tblLook w:firstColumn="1" w:firstRow="1" w:lastColumn="0" w:lastRow="0" w:noHBand="0" w:noVBand="1" w:val="04A0"/>
        <w:tblInd w:w="120" w:type="dxa"/>
      </w:tblPr>
      <w:tblGrid>
        <w:gridCol w:w="4097"/>
        <w:gridCol w:w="5767"/>
      </w:tblGrid>
      <w:tr>
        <w:trPr>
          <w:tblHeader/>
          <w:cantSplit/>
        </w:trPr>
        <w:tc>
          <w:tcPr>
            <w:tcW w:type="dxa" w:w="4097"/>
            <w:vAlign w:val="center"/>
            <w:shd w:fill="0D5F31"/>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FFFFFF"/>
                <w:sz w:val="16"/>
              </w:rPr>
              <w:t>Gaz</w:t>
            </w:r>
          </w:p>
        </w:tc>
        <w:tc>
          <w:tcPr>
            <w:tcW w:type="dxa" w:w="5767"/>
            <w:vAlign w:val="center"/>
            <w:shd w:fill="0D5F31"/>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FFFFFF"/>
                <w:sz w:val="16"/>
              </w:rPr>
              <w:t>Küresel Isınma Potansiyeli</w:t>
            </w:r>
          </w:p>
        </w:tc>
      </w:tr>
      <w:tr>
        <w:trPr>
          <w:cantSplit/>
        </w:trPr>
        <w:tc>
          <w:tcPr>
            <w:tcW w:type="dxa" w:w="4097"/>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CH 4</w:t>
            </w:r>
          </w:p>
        </w:tc>
        <w:tc>
          <w:tcPr>
            <w:tcW w:type="dxa" w:w="5767"/>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21 tCO / t CH 2(eşd) 4</w:t>
            </w:r>
          </w:p>
        </w:tc>
      </w:tr>
      <w:tr>
        <w:trPr>
          <w:cantSplit/>
        </w:trPr>
        <w:tc>
          <w:tcPr>
            <w:tcW w:type="dxa" w:w="4097"/>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N O 2</w:t>
            </w:r>
          </w:p>
        </w:tc>
        <w:tc>
          <w:tcPr>
            <w:tcW w:type="dxa" w:w="5767"/>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298 t CO / t N O 2(eşd) 2</w:t>
            </w:r>
          </w:p>
        </w:tc>
      </w:tr>
      <w:tr>
        <w:trPr>
          <w:cantSplit/>
        </w:trPr>
        <w:tc>
          <w:tcPr>
            <w:tcW w:type="dxa" w:w="4097"/>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CF 4</w:t>
            </w:r>
          </w:p>
        </w:tc>
        <w:tc>
          <w:tcPr>
            <w:tcW w:type="dxa" w:w="5767"/>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7390 t CO / t CF 2(eşd) 4</w:t>
            </w:r>
          </w:p>
        </w:tc>
      </w:tr>
      <w:tr>
        <w:trPr>
          <w:cantSplit/>
        </w:trPr>
        <w:tc>
          <w:tcPr>
            <w:tcW w:type="dxa" w:w="4097"/>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C F 2 6</w:t>
            </w:r>
          </w:p>
        </w:tc>
        <w:tc>
          <w:tcPr>
            <w:tcW w:type="dxa" w:w="5767"/>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12200 t CO / t C F 2(eşd) 2 6</w:t>
            </w:r>
          </w:p>
        </w:tc>
      </w:tr>
      <w:tr>
        <w:trPr>
          <w:cantSplit/>
        </w:trPr>
        <w:tc>
          <w:tcPr>
            <w:tcW w:type="dxa" w:w="4097"/>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HFC’ler (Hidroflokarbonlar)</w:t>
            </w:r>
          </w:p>
        </w:tc>
        <w:tc>
          <w:tcPr>
            <w:tcW w:type="dxa" w:w="5767"/>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140-11700 t CO / t HFC veya PFC 2(eşd)</w:t>
            </w:r>
          </w:p>
        </w:tc>
      </w:tr>
      <w:tr>
        <w:trPr>
          <w:cantSplit/>
        </w:trPr>
        <w:tc>
          <w:tcPr>
            <w:tcW w:type="dxa" w:w="4097"/>
            <w:vAlign w:val="center"/>
            <w:shd w:fill="ECF6EF"/>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0D5F31"/>
                <w:sz w:val="16"/>
              </w:rPr>
              <w:t>PFC’ler (Perflorokarbonlar)</w:t>
            </w:r>
          </w:p>
        </w:tc>
        <w:tc>
          <w:tcPr>
            <w:tcW w:type="dxa" w:w="5767"/>
            <w:vAlign w:val="center"/>
            <w:tcMar>
              <w:top w:w="80" w:type="dxa"/>
              <w:start w:w="120" w:type="dxa"/>
              <w:bottom w:w="80" w:type="dxa"/>
              <w:end w:w="120" w:type="dxa"/>
            </w:tcMar>
          </w:tcPr>
          <w:p>
            <w:pPr>
              <w:spacing w:before="0" w:after="0" w:line="245" w:lineRule="auto"/>
            </w:pPr>
          </w:p>
        </w:tc>
      </w:tr>
      <w:tr>
        <w:trPr>
          <w:cantSplit/>
        </w:trPr>
        <w:tc>
          <w:tcPr>
            <w:tcW w:type="dxa" w:w="4097"/>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SF (Sülfür Hegzaflorid) 6</w:t>
            </w:r>
          </w:p>
        </w:tc>
        <w:tc>
          <w:tcPr>
            <w:tcW w:type="dxa" w:w="5767"/>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23900 t CO / t SF 2(eşd) 6</w:t>
            </w:r>
          </w:p>
        </w:tc>
      </w:tr>
    </w:tbl>
    <w:p>
      <w:pPr>
        <w:pStyle w:val="ArticleText"/>
      </w:pPr>
      <w:r>
        <w:rPr>
          <w:rFonts w:ascii="Avenir Light" w:hAnsi="Avenir Light" w:eastAsia="Avenir Light" w:cs="Avenir Light"/>
          <w:b w:val="0"/>
          <w:i w:val="0"/>
          <w:color w:val="172126"/>
          <w:sz w:val="19"/>
        </w:rPr>
        <w:t>(Değişik:RG-5/2/2021-31386)</w:t>
      </w:r>
    </w:p>
    <w:p>
      <w:bookmarkStart w:id="78" w:name="ek_6"/>
      <w:pPr>
        <w:pStyle w:val="AnnexHeading"/>
      </w:pPr>
      <w:hyperlink w:anchor="ek_6" w:history="1">
        <w:r>
          <w:rPr>
            <w:rFonts w:ascii="Avenir Light" w:hAnsi="Avenir Light" w:eastAsia="Avenir Light" w:cs="Avenir Light"/>
            <w:color w:val="188A42"/>
            <w:sz w:val="28"/>
            <w:szCs w:val="28"/>
          </w:rPr>
          <w:t xml:space="preserve">EK-6</w:t>
        </w:r>
      </w:hyperlink>
      <w:bookmarkEnd w:id="78"/>
    </w:p>
    <w:p>
      <w:pPr>
        <w:pStyle w:val="AnnexTitle"/>
      </w:pPr>
      <w:r>
        <w:rPr>
          <w:rFonts w:ascii="Avenir Light" w:hAnsi="Avenir Light" w:eastAsia="Avenir Light" w:cs="Avenir Light"/>
          <w:b w:val="0"/>
          <w:i w:val="0"/>
          <w:color w:val="172126"/>
          <w:sz w:val="24"/>
        </w:rPr>
        <w:t>ANALİZLERİN ASGARİ FREKANSLARI</w:t>
      </w:r>
    </w:p>
    <w:tbl>
      <w:tblPr>
        <w:tblStyle w:val="TableGrid"/>
        <w:tblW w:type="dxa" w:w="9864"/>
        <w:jc w:val="left"/>
        <w:tblLayout w:type="fixed"/>
        <w:tblLook w:firstColumn="1" w:firstRow="1" w:lastColumn="0" w:lastRow="0" w:noHBand="0" w:noVBand="1" w:val="04A0"/>
        <w:tblInd w:w="120" w:type="dxa"/>
      </w:tblPr>
      <w:tblGrid>
        <w:gridCol w:w="4932"/>
        <w:gridCol w:w="4932"/>
      </w:tblGrid>
      <w:tr>
        <w:trPr>
          <w:tblHeader/>
          <w:cantSplit/>
        </w:trPr>
        <w:tc>
          <w:tcPr>
            <w:tcW w:type="dxa" w:w="4932"/>
            <w:vAlign w:val="center"/>
            <w:shd w:fill="0D5F31"/>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FFFFFF"/>
                <w:sz w:val="16"/>
              </w:rPr>
              <w:t>Yakıt/malzeme</w:t>
            </w:r>
          </w:p>
        </w:tc>
        <w:tc>
          <w:tcPr>
            <w:tcW w:type="dxa" w:w="4932"/>
            <w:vAlign w:val="center"/>
            <w:shd w:fill="0D5F31"/>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FFFFFF"/>
                <w:sz w:val="16"/>
              </w:rPr>
              <w:t>Analizlerin Asgari Sıklıkları</w:t>
            </w:r>
          </w:p>
        </w:tc>
      </w:tr>
      <w:tr>
        <w:trPr>
          <w:cantSplit/>
        </w:trPr>
        <w:tc>
          <w:tcPr>
            <w:tcW w:type="dxa" w:w="4932"/>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Doğal gaz</w:t>
            </w:r>
          </w:p>
        </w:tc>
        <w:tc>
          <w:tcPr>
            <w:tcW w:type="dxa" w:w="4932"/>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En az haftalık</w:t>
            </w:r>
          </w:p>
        </w:tc>
      </w:tr>
      <w:tr>
        <w:trPr>
          <w:cantSplit/>
        </w:trPr>
        <w:tc>
          <w:tcPr>
            <w:tcW w:type="dxa" w:w="4932"/>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Diğer gazlar özellikle sentez gazı ve karışık rafineri gazı, kok fırın gazı, yüksek fırın gazı ve bazik oksijen fırını-BOF gazı, petrol ve doğalgaz sahası başta olmak üzere proses gazları</w:t>
            </w:r>
          </w:p>
        </w:tc>
        <w:tc>
          <w:tcPr>
            <w:tcW w:type="dxa" w:w="4932"/>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En az günlük – günün farklı kısımlarında uygun prosedürleri kullanarak</w:t>
            </w:r>
          </w:p>
        </w:tc>
      </w:tr>
      <w:tr>
        <w:trPr>
          <w:cantSplit/>
        </w:trPr>
        <w:tc>
          <w:tcPr>
            <w:tcW w:type="dxa" w:w="4932"/>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Fuel Oil (hafif, orta, ağır fuel oil, bitümen)</w:t>
            </w:r>
          </w:p>
        </w:tc>
        <w:tc>
          <w:tcPr>
            <w:tcW w:type="dxa" w:w="4932"/>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Her 20.000 tonda yakıtta ve en az yılda altı defa</w:t>
            </w:r>
          </w:p>
        </w:tc>
      </w:tr>
      <w:tr>
        <w:trPr>
          <w:cantSplit/>
        </w:trPr>
        <w:tc>
          <w:tcPr>
            <w:tcW w:type="dxa" w:w="4932"/>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Kömür, kok kömürü, petrol koku, turba</w:t>
            </w:r>
          </w:p>
        </w:tc>
        <w:tc>
          <w:tcPr>
            <w:tcW w:type="dxa" w:w="4932"/>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Her 20.000 tonda yakıtta ve en az yılda dört defa</w:t>
            </w:r>
          </w:p>
        </w:tc>
      </w:tr>
      <w:tr>
        <w:trPr>
          <w:cantSplit/>
        </w:trPr>
        <w:tc>
          <w:tcPr>
            <w:tcW w:type="dxa" w:w="4932"/>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Diğer yakıtlar</w:t>
            </w:r>
          </w:p>
        </w:tc>
        <w:tc>
          <w:tcPr>
            <w:tcW w:type="dxa" w:w="4932"/>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Her 20.000 tonda yakıt/malzemede ve en az yılda altı defa</w:t>
            </w:r>
          </w:p>
        </w:tc>
      </w:tr>
      <w:tr>
        <w:trPr>
          <w:cantSplit/>
        </w:trPr>
        <w:tc>
          <w:tcPr>
            <w:tcW w:type="dxa" w:w="4932"/>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İşlenmiş katı atık (saf fosil veya karışık biyokütle fosil)</w:t>
            </w:r>
          </w:p>
        </w:tc>
        <w:tc>
          <w:tcPr>
            <w:tcW w:type="dxa" w:w="4932"/>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Her 5.000 ton atıkta ve en az yılda dört defa</w:t>
            </w:r>
          </w:p>
        </w:tc>
      </w:tr>
      <w:tr>
        <w:trPr>
          <w:cantSplit/>
        </w:trPr>
        <w:tc>
          <w:tcPr>
            <w:tcW w:type="dxa" w:w="4932"/>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Sıvı atık, öz işlenmiş katı atık</w:t>
            </w:r>
          </w:p>
        </w:tc>
        <w:tc>
          <w:tcPr>
            <w:tcW w:type="dxa" w:w="4932"/>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Her 10.000 tonda ve en az yılda dört defa</w:t>
            </w:r>
          </w:p>
        </w:tc>
      </w:tr>
      <w:tr>
        <w:trPr>
          <w:cantSplit/>
        </w:trPr>
        <w:tc>
          <w:tcPr>
            <w:tcW w:type="dxa" w:w="4932"/>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Karbonat mineralleri (kireç taşı ve dolomit dâhil)</w:t>
            </w:r>
          </w:p>
        </w:tc>
        <w:tc>
          <w:tcPr>
            <w:tcW w:type="dxa" w:w="4932"/>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Her 50.000 ton malzemede ve en az yılda dört defa</w:t>
            </w:r>
          </w:p>
        </w:tc>
      </w:tr>
      <w:tr>
        <w:trPr>
          <w:cantSplit/>
        </w:trPr>
        <w:tc>
          <w:tcPr>
            <w:tcW w:type="dxa" w:w="4932"/>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Kil ve şist</w:t>
            </w:r>
          </w:p>
        </w:tc>
        <w:tc>
          <w:tcPr>
            <w:tcW w:type="dxa" w:w="4932"/>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50.000 ton CO ’ye tekabül eden malzeme 2 miktarlarında ve en az yılda dört defa</w:t>
            </w:r>
          </w:p>
        </w:tc>
      </w:tr>
      <w:tr>
        <w:trPr>
          <w:cantSplit/>
        </w:trPr>
        <w:tc>
          <w:tcPr>
            <w:tcW w:type="dxa" w:w="4932"/>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Diğer malzemeler</w:t>
            </w:r>
          </w:p>
        </w:tc>
        <w:tc>
          <w:tcPr>
            <w:tcW w:type="dxa" w:w="4932"/>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Malzemenin tipine ve çeşidine bağlı olarak 50.000 ton CO ’ye tekabül eden malzeme 2 miktarlarında ve en az yılda dört defa</w:t>
            </w:r>
          </w:p>
        </w:tc>
      </w:tr>
    </w:tbl>
    <w:p>
      <w:pPr>
        <w:pStyle w:val="ArticleText"/>
      </w:pPr>
      <w:r>
        <w:rPr>
          <w:rFonts w:ascii="Avenir Light" w:hAnsi="Avenir Light" w:eastAsia="Avenir Light" w:cs="Avenir Light"/>
          <w:b w:val="0"/>
          <w:i w:val="0"/>
          <w:color w:val="172126"/>
          <w:sz w:val="19"/>
        </w:rPr>
        <w:t>(Değişik:RG-5/2/2021-31386)</w:t>
      </w:r>
    </w:p>
    <w:p>
      <w:bookmarkStart w:id="79" w:name="ek_7"/>
      <w:pPr>
        <w:pStyle w:val="AnnexHeading"/>
      </w:pPr>
      <w:hyperlink w:anchor="ek_7" w:history="1">
        <w:r>
          <w:rPr>
            <w:rFonts w:ascii="Avenir Light" w:hAnsi="Avenir Light" w:eastAsia="Avenir Light" w:cs="Avenir Light"/>
            <w:color w:val="188A42"/>
            <w:sz w:val="28"/>
            <w:szCs w:val="28"/>
          </w:rPr>
          <w:t xml:space="preserve">EK-7</w:t>
        </w:r>
      </w:hyperlink>
      <w:bookmarkEnd w:id="79"/>
    </w:p>
    <w:p>
      <w:pPr>
        <w:pStyle w:val="AnnexTitle"/>
      </w:pPr>
      <w:r>
        <w:rPr>
          <w:rFonts w:ascii="Avenir Light" w:hAnsi="Avenir Light" w:eastAsia="Avenir Light" w:cs="Avenir Light"/>
          <w:b w:val="0"/>
          <w:i w:val="0"/>
          <w:color w:val="172126"/>
          <w:sz w:val="24"/>
        </w:rPr>
        <w:t>ÖLÇÜM BAZLI YÖNTEMLER</w:t>
      </w:r>
    </w:p>
    <w:p>
      <w:pPr>
        <w:pStyle w:val="AnnexSubheading"/>
      </w:pPr>
      <w:r>
        <w:rPr>
          <w:rFonts w:ascii="Avenir Light" w:hAnsi="Avenir Light" w:eastAsia="Avenir Light" w:cs="Avenir Light"/>
          <w:b w:val="0"/>
          <w:i w:val="0"/>
          <w:color w:val="0D5F31"/>
          <w:sz w:val="21"/>
        </w:rPr>
        <w:t>1. Ölçüm Temelli Yöntemler İçin Kademe Tanımları</w:t>
      </w:r>
    </w:p>
    <w:p>
      <w:pPr>
        <w:pStyle w:val="ArticleText"/>
      </w:pPr>
      <w:r>
        <w:rPr>
          <w:rFonts w:ascii="Avenir Light" w:hAnsi="Avenir Light" w:eastAsia="Avenir Light" w:cs="Avenir Light"/>
          <w:b w:val="0"/>
          <w:i w:val="0"/>
          <w:color w:val="172126"/>
          <w:sz w:val="19"/>
        </w:rPr>
        <w:t>Ölçüm temelli yöntemlerin, bu Ekin üçüncü bölümünde belirtilen denklem 2 kapsamında hesaplanan yıllık ortalama saatlik emisyonlar için aşağıda yer alan azami izin verilebilir belirsizlikler ile kademeler kapsamında onaylanması şarttır. Tablo 7.1: SEÖS İçin Kademeler (her bir kademe için azami izin verilebilir belirsizlik) (‘n.a’, ‘uygulanamaz/geçerli değil’ anlamına gelir)</w:t>
      </w:r>
    </w:p>
    <w:tbl>
      <w:tblPr>
        <w:tblStyle w:val="TableGrid"/>
        <w:tblW w:type="dxa" w:w="9864"/>
        <w:jc w:val="left"/>
        <w:tblLayout w:type="fixed"/>
        <w:tblLook w:firstColumn="1" w:firstRow="1" w:lastColumn="0" w:lastRow="0" w:noHBand="0" w:noVBand="1" w:val="04A0"/>
        <w:tblInd w:w="120" w:type="dxa"/>
      </w:tblPr>
      <w:tblGrid>
        <w:gridCol w:w="3699"/>
        <w:gridCol w:w="1541"/>
        <w:gridCol w:w="1541"/>
        <w:gridCol w:w="1541"/>
        <w:gridCol w:w="1542"/>
      </w:tblGrid>
      <w:tr>
        <w:trPr>
          <w:tblHeader/>
          <w:cantSplit/>
        </w:trPr>
        <w:tc>
          <w:tcPr>
            <w:tcW w:type="dxa" w:w="3699"/>
            <w:vAlign w:val="center"/>
            <w:shd w:fill="0D5F31"/>
            <w:tcMar>
              <w:top w:w="80" w:type="dxa"/>
              <w:start w:w="120" w:type="dxa"/>
              <w:bottom w:w="80" w:type="dxa"/>
              <w:end w:w="120" w:type="dxa"/>
            </w:tcMar>
          </w:tcPr>
          <w:p>
            <w:pPr>
              <w:spacing w:before="0" w:after="0" w:line="245" w:lineRule="auto"/>
              <w:jc w:val="center"/>
            </w:pPr>
          </w:p>
        </w:tc>
        <w:tc>
          <w:tcPr>
            <w:tcW w:type="dxa" w:w="1541"/>
            <w:vAlign w:val="center"/>
            <w:shd w:fill="0D5F31"/>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FFFFFF"/>
                <w:sz w:val="15"/>
              </w:rPr>
              <w:t>Kademe 1</w:t>
            </w:r>
          </w:p>
        </w:tc>
        <w:tc>
          <w:tcPr>
            <w:tcW w:type="dxa" w:w="1541"/>
            <w:vAlign w:val="center"/>
            <w:shd w:fill="0D5F31"/>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FFFFFF"/>
                <w:sz w:val="15"/>
              </w:rPr>
              <w:t>Kademe 2</w:t>
            </w:r>
          </w:p>
        </w:tc>
        <w:tc>
          <w:tcPr>
            <w:tcW w:type="dxa" w:w="1541"/>
            <w:vAlign w:val="center"/>
            <w:shd w:fill="0D5F31"/>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FFFFFF"/>
                <w:sz w:val="15"/>
              </w:rPr>
              <w:t>Kademe 3</w:t>
            </w:r>
          </w:p>
        </w:tc>
        <w:tc>
          <w:tcPr>
            <w:tcW w:type="dxa" w:w="1542"/>
            <w:vAlign w:val="center"/>
            <w:shd w:fill="0D5F31"/>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FFFFFF"/>
                <w:sz w:val="15"/>
              </w:rPr>
              <w:t>Kademe 4</w:t>
            </w:r>
          </w:p>
        </w:tc>
      </w:tr>
      <w:tr>
        <w:trPr>
          <w:cantSplit/>
        </w:trPr>
        <w:tc>
          <w:tcPr>
            <w:tcW w:type="dxa" w:w="3699"/>
            <w:vAlign w:val="center"/>
            <w:shd w:fill="ECF6EF"/>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0D5F31"/>
                <w:sz w:val="15"/>
              </w:rPr>
              <w:t>CO Emisyon 2 Kaynakları</w:t>
            </w:r>
          </w:p>
        </w:tc>
        <w:tc>
          <w:tcPr>
            <w:tcW w:type="dxa" w:w="1541"/>
            <w:vAlign w:val="center"/>
            <w:shd w:fill="ECF6EF"/>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0D5F31"/>
                <w:sz w:val="15"/>
              </w:rPr>
              <w:t>± 10%</w:t>
            </w:r>
          </w:p>
        </w:tc>
        <w:tc>
          <w:tcPr>
            <w:tcW w:type="dxa" w:w="1541"/>
            <w:vAlign w:val="center"/>
            <w:shd w:fill="ECF6EF"/>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0D5F31"/>
                <w:sz w:val="15"/>
              </w:rPr>
              <w:t>± 7.5%</w:t>
            </w:r>
          </w:p>
        </w:tc>
        <w:tc>
          <w:tcPr>
            <w:tcW w:type="dxa" w:w="1541"/>
            <w:vAlign w:val="center"/>
            <w:shd w:fill="ECF6EF"/>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0D5F31"/>
                <w:sz w:val="15"/>
              </w:rPr>
              <w:t>± 5%</w:t>
            </w:r>
          </w:p>
        </w:tc>
        <w:tc>
          <w:tcPr>
            <w:tcW w:type="dxa" w:w="1542"/>
            <w:vAlign w:val="center"/>
            <w:shd w:fill="ECF6EF"/>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0D5F31"/>
                <w:sz w:val="15"/>
              </w:rPr>
              <w:t>± 2.5%</w:t>
            </w:r>
          </w:p>
        </w:tc>
      </w:tr>
      <w:tr>
        <w:trPr>
          <w:cantSplit/>
        </w:trPr>
        <w:tc>
          <w:tcPr>
            <w:tcW w:type="dxa" w:w="3699"/>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N O Emisyon 2 Kaynakları</w:t>
            </w:r>
          </w:p>
        </w:tc>
        <w:tc>
          <w:tcPr>
            <w:tcW w:type="dxa" w:w="154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 10%</w:t>
            </w:r>
          </w:p>
        </w:tc>
        <w:tc>
          <w:tcPr>
            <w:tcW w:type="dxa" w:w="154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 7.5%</w:t>
            </w:r>
          </w:p>
        </w:tc>
        <w:tc>
          <w:tcPr>
            <w:tcW w:type="dxa" w:w="154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 5%</w:t>
            </w:r>
          </w:p>
        </w:tc>
        <w:tc>
          <w:tcPr>
            <w:tcW w:type="dxa" w:w="1542"/>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n.a.</w:t>
            </w:r>
          </w:p>
        </w:tc>
      </w:tr>
      <w:tr>
        <w:trPr>
          <w:cantSplit/>
        </w:trPr>
        <w:tc>
          <w:tcPr>
            <w:tcW w:type="dxa" w:w="3699"/>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CO Transferi 2</w:t>
            </w:r>
          </w:p>
        </w:tc>
        <w:tc>
          <w:tcPr>
            <w:tcW w:type="dxa" w:w="154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 10%</w:t>
            </w:r>
          </w:p>
        </w:tc>
        <w:tc>
          <w:tcPr>
            <w:tcW w:type="dxa" w:w="154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 7.5%</w:t>
            </w:r>
          </w:p>
        </w:tc>
        <w:tc>
          <w:tcPr>
            <w:tcW w:type="dxa" w:w="1541"/>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 5%</w:t>
            </w:r>
          </w:p>
        </w:tc>
        <w:tc>
          <w:tcPr>
            <w:tcW w:type="dxa" w:w="1542"/>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5"/>
              </w:rPr>
              <w:t>± 2.5%</w:t>
            </w:r>
          </w:p>
        </w:tc>
      </w:tr>
    </w:tbl>
    <w:p>
      <w:pPr>
        <w:pStyle w:val="AnnexSubheading"/>
      </w:pPr>
      <w:r>
        <w:rPr>
          <w:rFonts w:ascii="Avenir Light" w:hAnsi="Avenir Light" w:eastAsia="Avenir Light" w:cs="Avenir Light"/>
          <w:b w:val="0"/>
          <w:i w:val="0"/>
          <w:color w:val="0D5F31"/>
          <w:sz w:val="21"/>
        </w:rPr>
        <w:t>2. Asgari Gereksinimler</w:t>
      </w:r>
    </w:p>
    <w:p>
      <w:pPr>
        <w:pStyle w:val="ArticleText"/>
      </w:pPr>
      <w:r>
        <w:rPr>
          <w:rFonts w:ascii="Avenir Light" w:hAnsi="Avenir Light" w:eastAsia="Avenir Light" w:cs="Avenir Light"/>
          <w:b w:val="0"/>
          <w:i w:val="0"/>
          <w:color w:val="172126"/>
          <w:sz w:val="19"/>
        </w:rPr>
        <w:t>Tablo 7.2: Ölçüm Temelli Yöntemler İçin Asgari Kademe Gereksinimleri</w:t>
      </w:r>
    </w:p>
    <w:tbl>
      <w:tblPr>
        <w:tblStyle w:val="TableGrid"/>
        <w:tblW w:type="dxa" w:w="9864"/>
        <w:jc w:val="left"/>
        <w:tblLayout w:type="fixed"/>
        <w:tblLook w:firstColumn="1" w:firstRow="1" w:lastColumn="0" w:lastRow="0" w:noHBand="0" w:noVBand="1" w:val="04A0"/>
        <w:tblInd w:w="120" w:type="dxa"/>
      </w:tblPr>
      <w:tblGrid>
        <w:gridCol w:w="2818"/>
        <w:gridCol w:w="7046"/>
      </w:tblGrid>
      <w:tr>
        <w:trPr>
          <w:tblHeader/>
          <w:cantSplit/>
        </w:trPr>
        <w:tc>
          <w:tcPr>
            <w:tcW w:type="dxa" w:w="2818"/>
            <w:vAlign w:val="center"/>
            <w:shd w:fill="0D5F31"/>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FFFFFF"/>
                <w:sz w:val="16"/>
              </w:rPr>
              <w:t>Sera Gazı</w:t>
            </w:r>
          </w:p>
        </w:tc>
        <w:tc>
          <w:tcPr>
            <w:tcW w:type="dxa" w:w="7046"/>
            <w:vAlign w:val="center"/>
            <w:shd w:fill="0D5F31"/>
            <w:tcMar>
              <w:top w:w="80" w:type="dxa"/>
              <w:start w:w="120" w:type="dxa"/>
              <w:bottom w:w="80" w:type="dxa"/>
              <w:end w:w="120" w:type="dxa"/>
            </w:tcMar>
          </w:tcPr>
          <w:p>
            <w:pPr>
              <w:spacing w:before="0" w:after="0" w:line="245" w:lineRule="auto"/>
              <w:jc w:val="center"/>
            </w:pPr>
            <w:r>
              <w:rPr>
                <w:rFonts w:ascii="Avenir Light" w:hAnsi="Avenir Light" w:eastAsia="Avenir Light" w:cs="Avenir Light"/>
                <w:b w:val="0"/>
                <w:i w:val="0"/>
                <w:color w:val="FFFFFF"/>
                <w:sz w:val="16"/>
              </w:rPr>
              <w:t>Asgari Kademe Gereksinimi</w:t>
            </w:r>
          </w:p>
        </w:tc>
      </w:tr>
      <w:tr>
        <w:trPr>
          <w:cantSplit/>
        </w:trPr>
        <w:tc>
          <w:tcPr>
            <w:tcW w:type="dxa" w:w="281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CO 2</w:t>
            </w:r>
          </w:p>
        </w:tc>
        <w:tc>
          <w:tcPr>
            <w:tcW w:type="dxa" w:w="704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2</w:t>
            </w:r>
          </w:p>
        </w:tc>
      </w:tr>
      <w:tr>
        <w:trPr>
          <w:cantSplit/>
        </w:trPr>
        <w:tc>
          <w:tcPr>
            <w:tcW w:type="dxa" w:w="2818"/>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N O 2</w:t>
            </w:r>
          </w:p>
        </w:tc>
        <w:tc>
          <w:tcPr>
            <w:tcW w:type="dxa" w:w="7046"/>
            <w:vAlign w:val="center"/>
            <w:tcMar>
              <w:top w:w="80" w:type="dxa"/>
              <w:start w:w="120" w:type="dxa"/>
              <w:bottom w:w="80" w:type="dxa"/>
              <w:end w:w="120" w:type="dxa"/>
            </w:tcMar>
          </w:tcPr>
          <w:p>
            <w:pPr>
              <w:spacing w:before="0" w:after="0" w:line="245" w:lineRule="auto"/>
            </w:pPr>
            <w:r>
              <w:rPr>
                <w:rFonts w:ascii="Avenir Light" w:hAnsi="Avenir Light" w:eastAsia="Avenir Light" w:cs="Avenir Light"/>
                <w:b w:val="0"/>
                <w:i w:val="0"/>
                <w:color w:val="172126"/>
                <w:sz w:val="16"/>
              </w:rPr>
              <w:t>2</w:t>
            </w:r>
          </w:p>
        </w:tc>
      </w:tr>
    </w:tbl>
    <w:p>
      <w:pPr>
        <w:pStyle w:val="AnnexSubheading"/>
      </w:pPr>
      <w:r>
        <w:rPr>
          <w:rFonts w:ascii="Avenir Light" w:hAnsi="Avenir Light" w:eastAsia="Avenir Light" w:cs="Avenir Light"/>
          <w:b w:val="0"/>
          <w:i w:val="0"/>
          <w:color w:val="0D5F31"/>
          <w:sz w:val="21"/>
        </w:rPr>
        <w:t>3. Ölçüm Bazlı Yöntemler Kullanarak Emisyonların Belirlenmesi</w:t>
      </w:r>
    </w:p>
    <w:p>
      <w:pPr>
        <w:pStyle w:val="ArticleText"/>
      </w:pPr>
      <w:r>
        <w:rPr>
          <w:rFonts w:ascii="Avenir Light" w:hAnsi="Avenir Light" w:eastAsia="Avenir Light" w:cs="Avenir Light"/>
          <w:b w:val="0"/>
          <w:i w:val="0"/>
          <w:color w:val="172126"/>
          <w:sz w:val="19"/>
        </w:rPr>
        <w:t xml:space="preserve">Denklem 1: Yıllık Emisyonların Hesaplanması 𝑡𝑜𝑝𝑙𝑎𝑚 𝑖ş𝑙𝑒𝑡𝑖𝑚 𝑠𝑎𝑎𝑡𝑖 𝑆𝐺 𝐸𝑚𝑖𝑠 [𝑡] = ∑ 𝑆𝐺𝑑𝑒𝑟 ∙ 𝑉 ∙ 10−6[𝑡/𝑔] 𝑡𝑜𝑝𝑙𝑎𝑚 𝑠𝑎𝑎𝑡𝑙𝑖𝑘,𝑖 𝑠𝑎𝑎𝑡𝑙𝑖𝑘,𝑖 𝑖=1 Denklem 2: saatlik ortalama derişimlerin belirlenmesi 𝑘𝑔 𝑆𝐺 𝐸𝑚𝑖𝑠 𝑡𝑜𝑝𝑙𝑎𝑚 𝑆𝐺 𝑒𝑚𝑖𝑠𝑦𝑜𝑛𝑙𝑎𝑟𝚤 [ ] = ∙ 10 3[𝑘𝑔/𝑡𝑜𝑛] 𝑜𝑟𝑡𝑎𝑙𝑎𝑚𝑎 𝑠𝑎𝑎𝑡 𝑡𝑜𝑝𝑙𝑎𝑚 𝑖ş𝑙𝑒𝑡𝑖𝑚 𝑠𝑎𝑎𝑡𝑖 Denklem 2a: </w:t>
      </w:r>
      <w:hyperlink w:anchor="ek_9" w:history="1">
        <w:r>
          <w:rPr>
            <w:rFonts w:ascii="Avenir Light" w:hAnsi="Avenir Light" w:eastAsia="Avenir Light" w:cs="Avenir Light"/>
            <w:color w:val="188A42"/>
            <w:sz w:val="19"/>
            <w:szCs w:val="19"/>
          </w:rPr>
          <w:t xml:space="preserve">Ek-9</w:t>
        </w:r>
      </w:hyperlink>
      <w:r>
        <w:rPr>
          <w:rFonts w:ascii="Avenir Light" w:hAnsi="Avenir Light" w:eastAsia="Avenir Light" w:cs="Avenir Light"/>
          <w:b w:val="0"/>
          <w:i w:val="0"/>
          <w:color w:val="172126"/>
          <w:sz w:val="19"/>
        </w:rPr>
        <w:t xml:space="preserve"> 9 uncu bölümün (b) şıkkı kapsamında yapılacak raporlama için saatlik ortalama derişimlerin belirlenmesi 𝑔 𝑆𝐺 𝐸𝑚𝑖𝑠 𝑡𝑜𝑝𝑙𝑎𝑚 𝑆𝐺 𝑘𝑜𝑛𝑠𝑡𝑎𝑛𝑡𝑟𝑎𝑠𝑦𝑜𝑛𝑢 [ ] = ∙ 10 6[𝑔/𝑡𝑜𝑛] 𝑜𝑟𝑡𝑎𝑙𝑎𝑚𝑎 𝑁𝑚3 ∑ 𝑡𝑜𝑝𝑙𝑎𝑚 𝑖ş𝑙𝑒𝑡𝑖𝑚 𝑠𝑎𝑎𝑡𝑖 𝑉 𝑖=1 𝑠𝑎𝑎𝑡𝑙𝑖𝑘,𝑖 Denklem 2b: </w:t>
      </w:r>
      <w:hyperlink w:anchor="ek_9" w:history="1">
        <w:r>
          <w:rPr>
            <w:rFonts w:ascii="Avenir Light" w:hAnsi="Avenir Light" w:eastAsia="Avenir Light" w:cs="Avenir Light"/>
            <w:color w:val="188A42"/>
            <w:sz w:val="19"/>
            <w:szCs w:val="19"/>
          </w:rPr>
          <w:t xml:space="preserve">Ek-9</w:t>
        </w:r>
      </w:hyperlink>
      <w:r>
        <w:rPr>
          <w:rFonts w:ascii="Avenir Light" w:hAnsi="Avenir Light" w:eastAsia="Avenir Light" w:cs="Avenir Light"/>
          <w:b w:val="0"/>
          <w:i w:val="0"/>
          <w:color w:val="172126"/>
          <w:sz w:val="19"/>
        </w:rPr>
        <w:t xml:space="preserve"> 9 uncu bölümün (b) şıkkı kapsamında yapılacak raporlama için saatlik baca gazı akışının belirlenmesi 𝑁𝑚3 ∑ 𝑡𝑜𝑝𝑙𝑎𝑚 𝑖ş𝑙𝑒𝑡𝑖𝑚 𝑠𝑎𝑎𝑡𝑖 𝑉 𝐴𝑘𝚤ş [ ] = 𝑖=1 𝑠𝑎𝑎𝑡𝑙𝑖𝑘,𝑖 𝑜𝑟𝑡𝑎𝑙𝑎𝑚𝑎 𝑠𝑎𝑎𝑡 𝑡𝑜𝑝𝑙𝑎𝑚 𝑖ş𝑙𝑒𝑡𝑖𝑚 𝑠𝑎𝑎𝑡𝑖 Denklem 2c: </w:t>
      </w:r>
      <w:hyperlink w:anchor="ek_9" w:history="1">
        <w:r>
          <w:rPr>
            <w:rFonts w:ascii="Avenir Light" w:hAnsi="Avenir Light" w:eastAsia="Avenir Light" w:cs="Avenir Light"/>
            <w:color w:val="188A42"/>
            <w:sz w:val="19"/>
            <w:szCs w:val="19"/>
          </w:rPr>
          <w:t xml:space="preserve">Ek-9</w:t>
        </w:r>
      </w:hyperlink>
      <w:r>
        <w:rPr>
          <w:rFonts w:ascii="Avenir Light" w:hAnsi="Avenir Light" w:eastAsia="Avenir Light" w:cs="Avenir Light"/>
          <w:b w:val="0"/>
          <w:i w:val="0"/>
          <w:color w:val="172126"/>
          <w:sz w:val="19"/>
        </w:rPr>
        <w:t xml:space="preserve"> 9 uncu bölümün (b) şıkkı kapsamında yapılacak raporlama için yıllık emisyonların belirlenmesi 𝑆𝐺 𝐸𝑚𝑖𝑠 𝑡𝑜𝑝𝑙𝑎𝑚 [𝑡] = 𝑆𝐺 𝑘𝑜𝑛𝑠𝑡𝑎𝑛𝑡𝑟𝑎𝑠𝑦𝑜𝑛𝑢 𝑜𝑟𝑡𝑎𝑙𝑎𝑚𝑎 ∙ 𝐴𝑘𝚤ş 𝑜𝑟𝑡𝑎𝑙𝑎𝑚𝑎 ∙ 𝑇𝑜𝑝𝑙𝑎𝑚 İş𝑙𝑒𝑡𝑖𝑚 𝑆𝑎𝑎𝑡𝑖 ∙ 10 −6[𝑡𝑜𝑛/𝑔] 1’den 2c’ye kadar olan denklemlerde aşağıdaki kısaltmalar kullanılmıştır: i endeksi her bir çalışma saati anlamına gelir. İşletmenin </w:t>
      </w:r>
      <w:hyperlink w:anchor="madde_44" w:history="1">
        <w:r>
          <w:rPr>
            <w:rFonts w:ascii="Avenir Light" w:hAnsi="Avenir Light" w:eastAsia="Avenir Light" w:cs="Avenir Light"/>
            <w:color w:val="188A42"/>
            <w:sz w:val="19"/>
            <w:szCs w:val="19"/>
          </w:rPr>
          <w:t xml:space="preserve">44 üncü madde</w:t>
        </w:r>
      </w:hyperlink>
      <w:r>
        <w:rPr>
          <w:rFonts w:ascii="Avenir Light" w:hAnsi="Avenir Light" w:eastAsia="Avenir Light" w:cs="Avenir Light"/>
          <w:b w:val="0"/>
          <w:i w:val="0"/>
          <w:color w:val="172126"/>
          <w:sz w:val="19"/>
        </w:rPr>
        <w:t xml:space="preserve">nin birinci fıkrası uyarınca daha kısa referans periyotlarını kullanması durumunda hesaplamalarda saatlik yerine bu referans periyot kullanılır. SG Emis toplam = ton cinsinden toplam sera gazı emisyonları SGder saatlik,i = i saati için işletim sırasında baca gazı akışındaki emisyonların g/Nm3 cinsinden ölçülen saatlik derişimleri V saatlik,i = i saati için Nm3 cinsinden saatlik baca gazı akışı (ör. saatlik veya daha kısa referans periyodu için akışın integrali) SG emisyonları ortalama = kaynaktan gelen kg/saat cinsinden yıllık ortalama saatlik emisyonlar Toplam işletim saati = </w:t>
      </w:r>
      <w:hyperlink w:anchor="madde_45" w:history="1">
        <w:r>
          <w:rPr>
            <w:rFonts w:ascii="Avenir Light" w:hAnsi="Avenir Light" w:eastAsia="Avenir Light" w:cs="Avenir Light"/>
            <w:color w:val="188A42"/>
            <w:sz w:val="19"/>
            <w:szCs w:val="19"/>
          </w:rPr>
          <w:t xml:space="preserve">45 inci madde</w:t>
        </w:r>
      </w:hyperlink>
      <w:r>
        <w:rPr>
          <w:rFonts w:ascii="Avenir Light" w:hAnsi="Avenir Light" w:eastAsia="Avenir Light" w:cs="Avenir Light"/>
          <w:b w:val="0"/>
          <w:i w:val="0"/>
          <w:color w:val="172126"/>
          <w:sz w:val="19"/>
        </w:rPr>
        <w:t>nin ikinci ve dördüncü fıkrası arasındaki hükümler uyarınca ikame edilen veriler de dahil olmak üzere ölçüm temelli yöntemin uygulandığı toplam saat sayısı SGder saatlik = baca gazı akışındaki emisyonların g/Nm3 cinsinden saatlik yıllık ortalama derişimleri Akış ortalama = Nm3 cinsinden yıllık ortalama baca gazı akışı (Değişik:RG-5/2/2021-31386)</w:t>
      </w:r>
    </w:p>
    <w:p>
      <w:bookmarkStart w:id="80" w:name="ek_8"/>
      <w:pPr>
        <w:pStyle w:val="AnnexHeading"/>
      </w:pPr>
      <w:hyperlink w:anchor="ek_8" w:history="1">
        <w:r>
          <w:rPr>
            <w:rFonts w:ascii="Avenir Light" w:hAnsi="Avenir Light" w:eastAsia="Avenir Light" w:cs="Avenir Light"/>
            <w:color w:val="188A42"/>
            <w:sz w:val="28"/>
            <w:szCs w:val="28"/>
          </w:rPr>
          <w:t xml:space="preserve">EK-8</w:t>
        </w:r>
      </w:hyperlink>
      <w:bookmarkEnd w:id="80"/>
    </w:p>
    <w:p>
      <w:pPr>
        <w:pStyle w:val="AnnexTitle"/>
      </w:pPr>
      <w:hyperlink w:anchor="madde_57" w:history="1">
        <w:r>
          <w:rPr>
            <w:rFonts w:ascii="Avenir Light" w:hAnsi="Avenir Light" w:eastAsia="Avenir Light" w:cs="Avenir Light"/>
            <w:color w:val="188A42"/>
            <w:sz w:val="24"/>
            <w:szCs w:val="24"/>
          </w:rPr>
          <w:t xml:space="preserve">57 NCİ MADDE</w:t>
        </w:r>
      </w:hyperlink>
      <w:r>
        <w:rPr>
          <w:rFonts w:ascii="Avenir Light" w:hAnsi="Avenir Light" w:eastAsia="Avenir Light" w:cs="Avenir Light"/>
          <w:b w:val="0"/>
          <w:i w:val="0"/>
          <w:color w:val="172126"/>
          <w:sz w:val="24"/>
        </w:rPr>
        <w:t>NİN BİRİNCİ FIKRASI UYARINCA SAKLANACAK ASGARİ</w:t>
      </w:r>
    </w:p>
    <w:p>
      <w:pPr>
        <w:pStyle w:val="AnnexTitle"/>
      </w:pPr>
      <w:r>
        <w:rPr>
          <w:rFonts w:ascii="Avenir Light" w:hAnsi="Avenir Light" w:eastAsia="Avenir Light" w:cs="Avenir Light"/>
          <w:b w:val="0"/>
          <w:i w:val="0"/>
          <w:color w:val="172126"/>
          <w:sz w:val="24"/>
        </w:rPr>
        <w:t>VERİ VE BİLGİ</w:t>
      </w:r>
    </w:p>
    <w:p>
      <w:pPr>
        <w:pStyle w:val="LegalList"/>
      </w:pPr>
      <w:r>
        <w:rPr>
          <w:rFonts w:ascii="Avenir Light" w:hAnsi="Avenir Light" w:eastAsia="Avenir Light" w:cs="Avenir Light"/>
          <w:b w:val="0"/>
          <w:i w:val="0"/>
          <w:color w:val="172126"/>
          <w:sz w:val="19"/>
        </w:rPr>
        <w:t>(1) Bakanlık tarafından onaylanan doğrulanmış izleme planı,</w:t>
      </w:r>
    </w:p>
    <w:p>
      <w:pPr>
        <w:pStyle w:val="LegalList"/>
      </w:pPr>
      <w:r>
        <w:rPr>
          <w:rFonts w:ascii="Avenir Light" w:hAnsi="Avenir Light" w:eastAsia="Avenir Light" w:cs="Avenir Light"/>
          <w:b w:val="0"/>
          <w:i w:val="0"/>
          <w:color w:val="172126"/>
          <w:sz w:val="19"/>
        </w:rPr>
        <w:t>(2) İzleme yöntemi seçimini ve Bakanlıkça onaylanmış izleme yönteminde ve kademelerde varsa geçici veya geçici olmayan değişiklikleri gerekçelendiren dokümanlar,</w:t>
      </w:r>
    </w:p>
    <w:p>
      <w:pPr>
        <w:pStyle w:val="LegalList"/>
      </w:pPr>
      <w:r>
        <w:rPr>
          <w:rFonts w:ascii="Avenir Light" w:hAnsi="Avenir Light" w:eastAsia="Avenir Light" w:cs="Avenir Light"/>
          <w:b w:val="0"/>
          <w:i w:val="0"/>
          <w:color w:val="172126"/>
          <w:sz w:val="19"/>
        </w:rPr>
        <w:t xml:space="preserve">(3) </w:t>
      </w:r>
      <w:hyperlink w:anchor="madde_14" w:history="1">
        <w:r>
          <w:rPr>
            <w:rFonts w:ascii="Avenir Light" w:hAnsi="Avenir Light" w:eastAsia="Avenir Light" w:cs="Avenir Light"/>
            <w:color w:val="188A42"/>
            <w:sz w:val="19"/>
            <w:szCs w:val="19"/>
          </w:rPr>
          <w:t xml:space="preserve">14 üncü madde</w:t>
        </w:r>
      </w:hyperlink>
      <w:r>
        <w:rPr>
          <w:rFonts w:ascii="Avenir Light" w:hAnsi="Avenir Light" w:eastAsia="Avenir Light" w:cs="Avenir Light"/>
          <w:b w:val="0"/>
          <w:i w:val="0"/>
          <w:color w:val="172126"/>
          <w:sz w:val="19"/>
        </w:rPr>
        <w:t xml:space="preserve"> uyarınca Bakanlığa sunulan izleme planı değişiklikleri ve Bakanlığın cevapları,</w:t>
      </w:r>
    </w:p>
    <w:p>
      <w:pPr>
        <w:pStyle w:val="LegalList"/>
      </w:pPr>
      <w:r>
        <w:rPr>
          <w:rFonts w:ascii="Avenir Light" w:hAnsi="Avenir Light" w:eastAsia="Avenir Light" w:cs="Avenir Light"/>
          <w:b w:val="0"/>
          <w:i w:val="0"/>
          <w:color w:val="172126"/>
          <w:sz w:val="19"/>
        </w:rPr>
        <w:t>(4) İzleme planında atıfta bulunulan bütün yazılı prosedürler, varsa örnekleme planı, veri akış faaliyetleri için prosedürler ve kontrol faaliyetleri için prosedürler,</w:t>
      </w:r>
    </w:p>
    <w:p>
      <w:pPr>
        <w:pStyle w:val="LegalList"/>
      </w:pPr>
      <w:r>
        <w:rPr>
          <w:rFonts w:ascii="Avenir Light" w:hAnsi="Avenir Light" w:eastAsia="Avenir Light" w:cs="Avenir Light"/>
          <w:b w:val="0"/>
          <w:i w:val="0"/>
          <w:color w:val="172126"/>
          <w:sz w:val="19"/>
        </w:rPr>
        <w:t>(5) İzleme planının ve prosedürlerin kullanılan bütün sürümlerinin listesi,</w:t>
      </w:r>
    </w:p>
    <w:p>
      <w:pPr>
        <w:pStyle w:val="LegalList"/>
      </w:pPr>
      <w:r>
        <w:rPr>
          <w:rFonts w:ascii="Avenir Light" w:hAnsi="Avenir Light" w:eastAsia="Avenir Light" w:cs="Avenir Light"/>
          <w:b w:val="0"/>
          <w:i w:val="0"/>
          <w:color w:val="172126"/>
          <w:sz w:val="19"/>
        </w:rPr>
        <w:t>(6) İzleme ve raporlama ile bağlantılı sorumlulukların dokümantasyonu,</w:t>
      </w:r>
    </w:p>
    <w:p>
      <w:pPr>
        <w:pStyle w:val="LegalList"/>
      </w:pPr>
      <w:r>
        <w:rPr>
          <w:rFonts w:ascii="Avenir Light" w:hAnsi="Avenir Light" w:eastAsia="Avenir Light" w:cs="Avenir Light"/>
          <w:b w:val="0"/>
          <w:i w:val="0"/>
          <w:color w:val="172126"/>
          <w:sz w:val="19"/>
        </w:rPr>
        <w:t>(7) Varsa, işletme tarafından yürütülen risk değerlendirmeleri,</w:t>
      </w:r>
    </w:p>
    <w:p>
      <w:pPr>
        <w:pStyle w:val="LegalList"/>
      </w:pPr>
      <w:r>
        <w:rPr>
          <w:rFonts w:ascii="Avenir Light" w:hAnsi="Avenir Light" w:eastAsia="Avenir Light" w:cs="Avenir Light"/>
          <w:b w:val="0"/>
          <w:i w:val="0"/>
          <w:color w:val="172126"/>
          <w:sz w:val="19"/>
        </w:rPr>
        <w:t xml:space="preserve">(8) </w:t>
      </w:r>
      <w:hyperlink w:anchor="madde_59" w:history="1">
        <w:r>
          <w:rPr>
            <w:rFonts w:ascii="Avenir Light" w:hAnsi="Avenir Light" w:eastAsia="Avenir Light" w:cs="Avenir Light"/>
            <w:color w:val="188A42"/>
            <w:sz w:val="19"/>
            <w:szCs w:val="19"/>
          </w:rPr>
          <w:t xml:space="preserve">59 uncu madde</w:t>
        </w:r>
      </w:hyperlink>
      <w:r>
        <w:rPr>
          <w:rFonts w:ascii="Avenir Light" w:hAnsi="Avenir Light" w:eastAsia="Avenir Light" w:cs="Avenir Light"/>
          <w:b w:val="0"/>
          <w:i w:val="0"/>
          <w:color w:val="172126"/>
          <w:sz w:val="19"/>
        </w:rPr>
        <w:t xml:space="preserve"> uyarınca hazırlanan iyileştirme raporları,</w:t>
      </w:r>
    </w:p>
    <w:p>
      <w:pPr>
        <w:pStyle w:val="LegalList"/>
      </w:pPr>
      <w:r>
        <w:rPr>
          <w:rFonts w:ascii="Avenir Light" w:hAnsi="Avenir Light" w:eastAsia="Avenir Light" w:cs="Avenir Light"/>
          <w:b w:val="0"/>
          <w:i w:val="0"/>
          <w:color w:val="172126"/>
          <w:sz w:val="19"/>
        </w:rPr>
        <w:t>(9) Doğrulanmış yıllık emisyon raporu,</w:t>
      </w:r>
    </w:p>
    <w:p>
      <w:pPr>
        <w:pStyle w:val="LegalList"/>
      </w:pPr>
      <w:r>
        <w:rPr>
          <w:rFonts w:ascii="Avenir Light" w:hAnsi="Avenir Light" w:eastAsia="Avenir Light" w:cs="Avenir Light"/>
          <w:b w:val="0"/>
          <w:i w:val="0"/>
          <w:color w:val="172126"/>
          <w:sz w:val="19"/>
        </w:rPr>
        <w:t>(10) Doğrulama raporları,</w:t>
      </w:r>
    </w:p>
    <w:p>
      <w:pPr>
        <w:pStyle w:val="LegalList"/>
      </w:pPr>
      <w:r>
        <w:rPr>
          <w:rFonts w:ascii="Avenir Light" w:hAnsi="Avenir Light" w:eastAsia="Avenir Light" w:cs="Avenir Light"/>
          <w:b w:val="0"/>
          <w:i w:val="0"/>
          <w:color w:val="172126"/>
          <w:sz w:val="19"/>
        </w:rPr>
        <w:t>(11) İzleme planının ve yıllık emisyon raporunun doğrulanması için gerekli diğer bilgiler,</w:t>
      </w:r>
    </w:p>
    <w:p>
      <w:pPr>
        <w:pStyle w:val="LegalList"/>
      </w:pPr>
      <w:r>
        <w:rPr>
          <w:rFonts w:ascii="Avenir Light" w:hAnsi="Avenir Light" w:eastAsia="Avenir Light" w:cs="Avenir Light"/>
          <w:b w:val="0"/>
          <w:i w:val="0"/>
          <w:color w:val="172126"/>
          <w:sz w:val="19"/>
        </w:rPr>
        <w:t>(12) Varsa, belirsizlik değerlendirmeleri,</w:t>
      </w:r>
    </w:p>
    <w:p>
      <w:pPr>
        <w:pStyle w:val="LegalList"/>
      </w:pPr>
      <w:r>
        <w:rPr>
          <w:rFonts w:ascii="Avenir Light" w:hAnsi="Avenir Light" w:eastAsia="Avenir Light" w:cs="Avenir Light"/>
          <w:b w:val="0"/>
          <w:i w:val="0"/>
          <w:color w:val="172126"/>
          <w:sz w:val="19"/>
        </w:rPr>
        <w:t>(13) Tesislerde uygulanan hesaplama temelli yöntemler için:</w:t>
      </w:r>
    </w:p>
    <w:p>
      <w:pPr>
        <w:pStyle w:val="LegalList"/>
      </w:pPr>
      <w:r>
        <w:rPr>
          <w:rFonts w:ascii="Avenir Light" w:hAnsi="Avenir Light" w:eastAsia="Avenir Light" w:cs="Avenir Light"/>
          <w:b w:val="0"/>
          <w:i w:val="0"/>
          <w:color w:val="172126"/>
          <w:sz w:val="19"/>
        </w:rPr>
        <w:t>(a) Proses, yakıt veya malzeme tipine göre kategorize edilmiş şekilde, her bir kaynak akışı için emisyon hesaplanmasında kullanılan faaliyet verileri,</w:t>
      </w:r>
    </w:p>
    <w:p>
      <w:pPr>
        <w:pStyle w:val="LegalList"/>
      </w:pPr>
      <w:r>
        <w:rPr>
          <w:rFonts w:ascii="Avenir Light" w:hAnsi="Avenir Light" w:eastAsia="Avenir Light" w:cs="Avenir Light"/>
          <w:b w:val="0"/>
          <w:i w:val="0"/>
          <w:color w:val="172126"/>
          <w:sz w:val="19"/>
        </w:rPr>
        <w:t>(b) Varsa, hesaplama faktörü olarak kullanılan varsayılan değerlerin listesi,</w:t>
      </w:r>
    </w:p>
    <w:p>
      <w:pPr>
        <w:pStyle w:val="LegalList"/>
      </w:pPr>
      <w:r>
        <w:rPr>
          <w:rFonts w:ascii="Avenir Light" w:hAnsi="Avenir Light" w:eastAsia="Avenir Light" w:cs="Avenir Light"/>
          <w:b w:val="0"/>
          <w:i w:val="0"/>
          <w:color w:val="172126"/>
          <w:sz w:val="19"/>
        </w:rPr>
        <w:t>(c) Hesaplama faktörlerinin belirlenmesi için örnekleme ve analiz sonuçlarının tamamı,</w:t>
      </w:r>
    </w:p>
    <w:p>
      <w:pPr>
        <w:pStyle w:val="LegalList"/>
      </w:pPr>
      <w:r>
        <w:rPr>
          <w:rFonts w:ascii="Avenir Light" w:hAnsi="Avenir Light" w:eastAsia="Avenir Light" w:cs="Avenir Light"/>
          <w:b w:val="0"/>
          <w:i w:val="0"/>
          <w:color w:val="172126"/>
          <w:sz w:val="19"/>
        </w:rPr>
        <w:t xml:space="preserve">(ç) </w:t>
      </w:r>
      <w:hyperlink w:anchor="madde_54" w:history="1">
        <w:r>
          <w:rPr>
            <w:rFonts w:ascii="Avenir Light" w:hAnsi="Avenir Light" w:eastAsia="Avenir Light" w:cs="Avenir Light"/>
            <w:color w:val="188A42"/>
            <w:sz w:val="19"/>
            <w:szCs w:val="19"/>
          </w:rPr>
          <w:t xml:space="preserve">54 üncü madde</w:t>
        </w:r>
      </w:hyperlink>
      <w:r>
        <w:rPr>
          <w:rFonts w:ascii="Avenir Light" w:hAnsi="Avenir Light" w:eastAsia="Avenir Light" w:cs="Avenir Light"/>
          <w:b w:val="0"/>
          <w:i w:val="0"/>
          <w:color w:val="172126"/>
          <w:sz w:val="19"/>
        </w:rPr>
        <w:t xml:space="preserve"> uyarınca düzeltilen etkisiz prosedürlere ve alınan önlemlere ilişkin belgeler</w:t>
      </w:r>
    </w:p>
    <w:p>
      <w:pPr>
        <w:pStyle w:val="LegalList"/>
      </w:pPr>
      <w:r>
        <w:rPr>
          <w:rFonts w:ascii="Avenir Light" w:hAnsi="Avenir Light" w:eastAsia="Avenir Light" w:cs="Avenir Light"/>
          <w:b w:val="0"/>
          <w:i w:val="0"/>
          <w:color w:val="172126"/>
          <w:sz w:val="19"/>
        </w:rPr>
        <w:t>(d) Ölçüm cihazlarının kalibrasyon ve bakımı ile ilgili sonuçlar,</w:t>
      </w:r>
    </w:p>
    <w:p>
      <w:pPr>
        <w:pStyle w:val="LegalList"/>
      </w:pPr>
      <w:r>
        <w:rPr>
          <w:rFonts w:ascii="Avenir Light" w:hAnsi="Avenir Light" w:eastAsia="Avenir Light" w:cs="Avenir Light"/>
          <w:b w:val="0"/>
          <w:i w:val="0"/>
          <w:color w:val="172126"/>
          <w:sz w:val="19"/>
        </w:rPr>
        <w:t>(14) Tesislerde uygulanan ölçüm temelli yöntemler için:</w:t>
      </w:r>
    </w:p>
    <w:p>
      <w:pPr>
        <w:pStyle w:val="LegalList"/>
      </w:pPr>
      <w:r>
        <w:rPr>
          <w:rFonts w:ascii="Avenir Light" w:hAnsi="Avenir Light" w:eastAsia="Avenir Light" w:cs="Avenir Light"/>
          <w:b w:val="0"/>
          <w:i w:val="0"/>
          <w:color w:val="172126"/>
          <w:sz w:val="19"/>
        </w:rPr>
        <w:t>(a) Ölçüm temelli yöntemin seçimini gerekçelendiren dokümantasyon,</w:t>
      </w:r>
    </w:p>
    <w:p>
      <w:pPr>
        <w:pStyle w:val="LegalList"/>
      </w:pPr>
      <w:r>
        <w:rPr>
          <w:rFonts w:ascii="Avenir Light" w:hAnsi="Avenir Light" w:eastAsia="Avenir Light" w:cs="Avenir Light"/>
          <w:b w:val="0"/>
          <w:i w:val="0"/>
          <w:color w:val="172126"/>
          <w:sz w:val="19"/>
        </w:rPr>
        <w:t>(b) Prosese göre kategorize edilmiş şekilde, her bir emisyon kaynağında emisyonların belirsizlik analizi için kullanılan veriler,</w:t>
      </w:r>
    </w:p>
    <w:p>
      <w:pPr>
        <w:pStyle w:val="LegalList"/>
      </w:pPr>
      <w:r>
        <w:rPr>
          <w:rFonts w:ascii="Avenir Light" w:hAnsi="Avenir Light" w:eastAsia="Avenir Light" w:cs="Avenir Light"/>
          <w:b w:val="0"/>
          <w:i w:val="0"/>
          <w:color w:val="172126"/>
          <w:sz w:val="19"/>
        </w:rPr>
        <w:t>(c) Hesaplamaların teyitleri için kullanılan veriler ve hesaplamaların sonuçları,</w:t>
      </w:r>
    </w:p>
    <w:p>
      <w:pPr>
        <w:pStyle w:val="LegalList"/>
      </w:pPr>
      <w:r>
        <w:rPr>
          <w:rFonts w:ascii="Avenir Light" w:hAnsi="Avenir Light" w:eastAsia="Avenir Light" w:cs="Avenir Light"/>
          <w:b w:val="0"/>
          <w:i w:val="0"/>
          <w:color w:val="172126"/>
          <w:sz w:val="19"/>
        </w:rPr>
        <w:t>(ç) Bakanlığın onay belgelendirmesini de içeren, sürekli ölçüm sisteminin detaylı teknik tarifi,</w:t>
      </w:r>
    </w:p>
    <w:p>
      <w:pPr>
        <w:pStyle w:val="LegalList"/>
      </w:pPr>
      <w:r>
        <w:rPr>
          <w:rFonts w:ascii="Avenir Light" w:hAnsi="Avenir Light" w:eastAsia="Avenir Light" w:cs="Avenir Light"/>
          <w:b w:val="0"/>
          <w:i w:val="0"/>
          <w:color w:val="172126"/>
          <w:sz w:val="19"/>
        </w:rPr>
        <w:t>(d) Sürekli ölçüm sisteminden gelen ham ve toplanan veriler, zaman içindeki değişiklikler, testlere ilişkin kayıt defteri, arıza zamanları, kalibrasyonlar, servis ve bakıma ilişkin dokümantasyon,</w:t>
      </w:r>
    </w:p>
    <w:p>
      <w:pPr>
        <w:pStyle w:val="LegalList"/>
      </w:pPr>
      <w:r>
        <w:rPr>
          <w:rFonts w:ascii="Avenir Light" w:hAnsi="Avenir Light" w:eastAsia="Avenir Light" w:cs="Avenir Light"/>
          <w:b w:val="0"/>
          <w:i w:val="0"/>
          <w:color w:val="172126"/>
          <w:sz w:val="19"/>
        </w:rPr>
        <w:t>(e) Sürekli ölçüm sistemine ilişkin değişikliklerin dokümantasyonu,</w:t>
      </w:r>
    </w:p>
    <w:p>
      <w:pPr>
        <w:pStyle w:val="LegalList"/>
      </w:pPr>
      <w:r>
        <w:rPr>
          <w:rFonts w:ascii="Avenir Light" w:hAnsi="Avenir Light" w:eastAsia="Avenir Light" w:cs="Avenir Light"/>
          <w:b w:val="0"/>
          <w:i w:val="0"/>
          <w:color w:val="172126"/>
          <w:sz w:val="19"/>
        </w:rPr>
        <w:t>(f) Ölçüm cihazlarının kalibrasyon ve bakımı ile ilgili sonuçlar,</w:t>
      </w:r>
    </w:p>
    <w:p>
      <w:pPr>
        <w:pStyle w:val="LegalList"/>
      </w:pPr>
      <w:r>
        <w:rPr>
          <w:rFonts w:ascii="Avenir Light" w:hAnsi="Avenir Light" w:eastAsia="Avenir Light" w:cs="Avenir Light"/>
          <w:b w:val="0"/>
          <w:i w:val="0"/>
          <w:color w:val="172126"/>
          <w:sz w:val="19"/>
        </w:rPr>
        <w:t xml:space="preserve">(g) Varsa, </w:t>
      </w:r>
      <w:hyperlink w:anchor="madde_43" w:history="1">
        <w:r>
          <w:rPr>
            <w:rFonts w:ascii="Avenir Light" w:hAnsi="Avenir Light" w:eastAsia="Avenir Light" w:cs="Avenir Light"/>
            <w:color w:val="188A42"/>
            <w:sz w:val="19"/>
            <w:szCs w:val="19"/>
          </w:rPr>
          <w:t xml:space="preserve">43 üncü madde</w:t>
        </w:r>
      </w:hyperlink>
      <w:r>
        <w:rPr>
          <w:rFonts w:ascii="Avenir Light" w:hAnsi="Avenir Light" w:eastAsia="Avenir Light" w:cs="Avenir Light"/>
          <w:b w:val="0"/>
          <w:i w:val="0"/>
          <w:color w:val="172126"/>
          <w:sz w:val="19"/>
        </w:rPr>
        <w:t>nin dördüncü fıkrası kapsamındaki ikame veriyi ve varsayımları belirlemek için kullanılan kütle veya enerji dengesi modeli,</w:t>
      </w:r>
    </w:p>
    <w:p>
      <w:pPr>
        <w:pStyle w:val="LegalList"/>
      </w:pPr>
      <w:r>
        <w:rPr>
          <w:rFonts w:ascii="Avenir Light" w:hAnsi="Avenir Light" w:eastAsia="Avenir Light" w:cs="Avenir Light"/>
          <w:b w:val="0"/>
          <w:i w:val="0"/>
          <w:color w:val="172126"/>
          <w:sz w:val="19"/>
        </w:rPr>
        <w:t xml:space="preserve">(15) </w:t>
      </w:r>
      <w:hyperlink w:anchor="madde_20" w:history="1">
        <w:r>
          <w:rPr>
            <w:rFonts w:ascii="Avenir Light" w:hAnsi="Avenir Light" w:eastAsia="Avenir Light" w:cs="Avenir Light"/>
            <w:color w:val="188A42"/>
            <w:sz w:val="19"/>
            <w:szCs w:val="19"/>
          </w:rPr>
          <w:t xml:space="preserve">20 nci madde</w:t>
        </w:r>
      </w:hyperlink>
      <w:r>
        <w:rPr>
          <w:rFonts w:ascii="Avenir Light" w:hAnsi="Avenir Light" w:eastAsia="Avenir Light" w:cs="Avenir Light"/>
          <w:b w:val="0"/>
          <w:i w:val="0"/>
          <w:color w:val="172126"/>
          <w:sz w:val="19"/>
        </w:rPr>
        <w:t>de atıfta bulunulan kademelere dayanmayan yöntem uygulandığında, kaynak akışları ve emisyon kaynakları için emisyonların belirlenmesine yönelik gerekli veriler ile birlikte, kademe yöntemi kullanılarak raporlanacak olan faaliyet verisi için ikame veriler, hesaplama faktörleri ve diğer parametreler,</w:t>
      </w:r>
    </w:p>
    <w:p>
      <w:pPr>
        <w:pStyle w:val="LegalList"/>
      </w:pPr>
      <w:r>
        <w:rPr>
          <w:rFonts w:ascii="Avenir Light" w:hAnsi="Avenir Light" w:eastAsia="Avenir Light" w:cs="Avenir Light"/>
          <w:b w:val="0"/>
          <w:i w:val="0"/>
          <w:color w:val="172126"/>
          <w:sz w:val="19"/>
        </w:rPr>
        <w:t>(16) Birincil alüminyum üretimi için:</w:t>
      </w:r>
    </w:p>
    <w:p>
      <w:pPr>
        <w:pStyle w:val="LegalList"/>
      </w:pPr>
      <w:r>
        <w:rPr>
          <w:rFonts w:ascii="Avenir Light" w:hAnsi="Avenir Light" w:eastAsia="Avenir Light" w:cs="Avenir Light"/>
          <w:b w:val="0"/>
          <w:i w:val="0"/>
          <w:color w:val="172126"/>
          <w:sz w:val="19"/>
        </w:rPr>
        <w:t>(a) CF 4 ve C 2 F 6 için tesise özgü emisyon faktörlerinin belirlenmesine yönelik ölçüm serilerinden çıkan sonuçların dokümantasyonu,</w:t>
      </w:r>
    </w:p>
    <w:p>
      <w:pPr>
        <w:pStyle w:val="LegalList"/>
      </w:pPr>
      <w:r>
        <w:rPr>
          <w:rFonts w:ascii="Avenir Light" w:hAnsi="Avenir Light" w:eastAsia="Avenir Light" w:cs="Avenir Light"/>
          <w:b w:val="0"/>
          <w:i w:val="0"/>
          <w:color w:val="172126"/>
          <w:sz w:val="19"/>
        </w:rPr>
        <w:t>(b) Kaçak emisyonlar için toplam verimliliğin belirlenmesine yönelik sonuçların dokümantasyonu,</w:t>
      </w:r>
    </w:p>
    <w:p>
      <w:pPr>
        <w:pStyle w:val="LegalList"/>
      </w:pPr>
      <w:r>
        <w:rPr>
          <w:rFonts w:ascii="Avenir Light" w:hAnsi="Avenir Light" w:eastAsia="Avenir Light" w:cs="Avenir Light"/>
          <w:b w:val="0"/>
          <w:i w:val="0"/>
          <w:color w:val="172126"/>
          <w:sz w:val="19"/>
        </w:rPr>
        <w:t>(c) Üretimi hakkında ilgili bütün veriler, anot etkisi sıklığı ve süresi veya aşırı gerilim verisi,</w:t>
      </w:r>
    </w:p>
    <w:p>
      <w:pPr>
        <w:pStyle w:val="LegalList"/>
      </w:pPr>
      <w:r>
        <w:rPr>
          <w:rFonts w:ascii="Avenir Light" w:hAnsi="Avenir Light" w:eastAsia="Avenir Light" w:cs="Avenir Light"/>
          <w:b w:val="0"/>
          <w:i w:val="0"/>
          <w:color w:val="172126"/>
          <w:sz w:val="19"/>
        </w:rPr>
        <w:t>(17) CO 2 transferi için:</w:t>
      </w:r>
    </w:p>
    <w:p>
      <w:pPr>
        <w:pStyle w:val="LegalList"/>
      </w:pPr>
      <w:r>
        <w:rPr>
          <w:rFonts w:ascii="Avenir Light" w:hAnsi="Avenir Light" w:eastAsia="Avenir Light" w:cs="Avenir Light"/>
          <w:b w:val="0"/>
          <w:i w:val="0"/>
          <w:color w:val="172126"/>
          <w:sz w:val="19"/>
        </w:rPr>
        <w:t>(a) Taşıma ağına ilişkin basınç ve ısı verisi,</w:t>
      </w:r>
    </w:p>
    <w:p>
      <w:pPr>
        <w:pStyle w:val="LegalList"/>
      </w:pPr>
      <w:r>
        <w:rPr>
          <w:rFonts w:ascii="Avenir Light" w:hAnsi="Avenir Light" w:eastAsia="Avenir Light" w:cs="Avenir Light"/>
          <w:b w:val="0"/>
          <w:i w:val="0"/>
          <w:color w:val="172126"/>
          <w:sz w:val="19"/>
        </w:rPr>
        <w:t xml:space="preserve">(b) </w:t>
      </w:r>
      <w:hyperlink w:anchor="madde_47" w:history="1">
        <w:r>
          <w:rPr>
            <w:rFonts w:ascii="Avenir Light" w:hAnsi="Avenir Light" w:eastAsia="Avenir Light" w:cs="Avenir Light"/>
            <w:color w:val="188A42"/>
            <w:sz w:val="19"/>
            <w:szCs w:val="19"/>
          </w:rPr>
          <w:t xml:space="preserve">47 nci madde</w:t>
        </w:r>
      </w:hyperlink>
      <w:r>
        <w:rPr>
          <w:rFonts w:ascii="Avenir Light" w:hAnsi="Avenir Light" w:eastAsia="Avenir Light" w:cs="Avenir Light"/>
          <w:b w:val="0"/>
          <w:i w:val="0"/>
          <w:color w:val="172126"/>
          <w:sz w:val="19"/>
        </w:rPr>
        <w:t xml:space="preserve"> uyarınca gerekli bilgi ve veriler ile ilgili dokümantasyon. (Değişik:RG-5/2/2021-31386)</w:t>
      </w:r>
    </w:p>
    <w:p>
      <w:bookmarkStart w:id="81" w:name="ek_9"/>
      <w:pPr>
        <w:pStyle w:val="AnnexHeading"/>
      </w:pPr>
      <w:hyperlink w:anchor="ek_9" w:history="1">
        <w:r>
          <w:rPr>
            <w:rFonts w:ascii="Avenir Light" w:hAnsi="Avenir Light" w:eastAsia="Avenir Light" w:cs="Avenir Light"/>
            <w:color w:val="188A42"/>
            <w:sz w:val="28"/>
            <w:szCs w:val="28"/>
          </w:rPr>
          <w:t xml:space="preserve">EK-9</w:t>
        </w:r>
      </w:hyperlink>
      <w:bookmarkEnd w:id="81"/>
    </w:p>
    <w:p>
      <w:pPr>
        <w:pStyle w:val="AnnexTitle"/>
      </w:pPr>
      <w:hyperlink w:anchor="madde_57" w:history="1">
        <w:r>
          <w:rPr>
            <w:rFonts w:ascii="Avenir Light" w:hAnsi="Avenir Light" w:eastAsia="Avenir Light" w:cs="Avenir Light"/>
            <w:color w:val="188A42"/>
            <w:sz w:val="24"/>
            <w:szCs w:val="24"/>
          </w:rPr>
          <w:t xml:space="preserve">57 NCİ MADDE</w:t>
        </w:r>
      </w:hyperlink>
      <w:r>
        <w:rPr>
          <w:rFonts w:ascii="Avenir Light" w:hAnsi="Avenir Light" w:eastAsia="Avenir Light" w:cs="Avenir Light"/>
          <w:b w:val="0"/>
          <w:i w:val="0"/>
          <w:color w:val="172126"/>
          <w:sz w:val="24"/>
        </w:rPr>
        <w:t>NİN İKİNCİ FIKRASI UYARINCA YILLIK RAPORLARIN</w:t>
      </w:r>
    </w:p>
    <w:p>
      <w:pPr>
        <w:pStyle w:val="AnnexTitle"/>
      </w:pPr>
      <w:r>
        <w:rPr>
          <w:rFonts w:ascii="Avenir Light" w:hAnsi="Avenir Light" w:eastAsia="Avenir Light" w:cs="Avenir Light"/>
          <w:b w:val="0"/>
          <w:i w:val="0"/>
          <w:color w:val="172126"/>
          <w:sz w:val="24"/>
        </w:rPr>
        <w:t>ASGARİ İÇERİĞİ</w:t>
      </w:r>
    </w:p>
    <w:p>
      <w:pPr>
        <w:pStyle w:val="ArticleText"/>
      </w:pPr>
      <w:r>
        <w:rPr>
          <w:rFonts w:ascii="Avenir Light" w:hAnsi="Avenir Light" w:eastAsia="Avenir Light" w:cs="Avenir Light"/>
          <w:b w:val="0"/>
          <w:i w:val="0"/>
          <w:color w:val="172126"/>
          <w:sz w:val="19"/>
        </w:rPr>
        <w:t>Bir tesisin yıllık emisyon raporu asgari aşağıdakileri içerir:</w:t>
      </w:r>
    </w:p>
    <w:p>
      <w:pPr>
        <w:pStyle w:val="LegalList"/>
      </w:pPr>
      <w:r>
        <w:rPr>
          <w:rFonts w:ascii="Avenir Light" w:hAnsi="Avenir Light" w:eastAsia="Avenir Light" w:cs="Avenir Light"/>
          <w:b w:val="0"/>
          <w:i w:val="0"/>
          <w:color w:val="172126"/>
          <w:sz w:val="19"/>
        </w:rPr>
        <w:t>(1) Tesisi tanımlamaya yönelik:</w:t>
      </w:r>
    </w:p>
    <w:p>
      <w:pPr>
        <w:pStyle w:val="LegalList"/>
      </w:pPr>
      <w:r>
        <w:rPr>
          <w:rFonts w:ascii="Avenir Light" w:hAnsi="Avenir Light" w:eastAsia="Avenir Light" w:cs="Avenir Light"/>
          <w:b w:val="0"/>
          <w:i w:val="0"/>
          <w:color w:val="172126"/>
          <w:sz w:val="19"/>
        </w:rPr>
        <w:t>(a) Tesisin adı ve tam yazışma adresi,</w:t>
      </w:r>
    </w:p>
    <w:p>
      <w:pPr>
        <w:pStyle w:val="LegalList"/>
      </w:pPr>
      <w:r>
        <w:rPr>
          <w:rFonts w:ascii="Avenir Light" w:hAnsi="Avenir Light" w:eastAsia="Avenir Light" w:cs="Avenir Light"/>
          <w:b w:val="0"/>
          <w:i w:val="0"/>
          <w:color w:val="172126"/>
          <w:sz w:val="19"/>
        </w:rPr>
        <w:t xml:space="preserve">(b) Tesiste yürütülen ve Yönetmeliğin </w:t>
      </w:r>
      <w:hyperlink w:anchor="ek_1" w:history="1">
        <w:r>
          <w:rPr>
            <w:rFonts w:ascii="Avenir Light" w:hAnsi="Avenir Light" w:eastAsia="Avenir Light" w:cs="Avenir Light"/>
            <w:color w:val="188A42"/>
            <w:sz w:val="19"/>
            <w:szCs w:val="19"/>
          </w:rPr>
          <w:t xml:space="preserve">ek-1</w:t>
        </w:r>
      </w:hyperlink>
      <w:r>
        <w:rPr>
          <w:rFonts w:ascii="Avenir Light" w:hAnsi="Avenir Light" w:eastAsia="Avenir Light" w:cs="Avenir Light"/>
          <w:b w:val="0"/>
          <w:i w:val="0"/>
          <w:color w:val="172126"/>
          <w:sz w:val="19"/>
        </w:rPr>
        <w:t>’inde yer alan faaliyetlerin tipleri ve sayıları,</w:t>
      </w:r>
    </w:p>
    <w:p>
      <w:pPr>
        <w:pStyle w:val="LegalList"/>
      </w:pPr>
      <w:r>
        <w:rPr>
          <w:rFonts w:ascii="Avenir Light" w:hAnsi="Avenir Light" w:eastAsia="Avenir Light" w:cs="Avenir Light"/>
          <w:b w:val="0"/>
          <w:i w:val="0"/>
          <w:color w:val="172126"/>
          <w:sz w:val="19"/>
        </w:rPr>
        <w:t>(c) Belirlenen temas kişisine ilişkin adres, telefon, faks ve e-posta bilgileri,</w:t>
      </w:r>
    </w:p>
    <w:p>
      <w:pPr>
        <w:pStyle w:val="LegalList"/>
      </w:pPr>
      <w:r>
        <w:rPr>
          <w:rFonts w:ascii="Avenir Light" w:hAnsi="Avenir Light" w:eastAsia="Avenir Light" w:cs="Avenir Light"/>
          <w:b w:val="0"/>
          <w:i w:val="0"/>
          <w:color w:val="172126"/>
          <w:sz w:val="19"/>
        </w:rPr>
        <w:t>(ç) Tesisin ve/veya ana firmanın sahibinin adı,</w:t>
      </w:r>
    </w:p>
    <w:p>
      <w:pPr>
        <w:pStyle w:val="LegalList"/>
      </w:pPr>
      <w:r>
        <w:rPr>
          <w:rFonts w:ascii="Avenir Light" w:hAnsi="Avenir Light" w:eastAsia="Avenir Light" w:cs="Avenir Light"/>
          <w:b w:val="0"/>
          <w:i w:val="0"/>
          <w:color w:val="172126"/>
          <w:sz w:val="19"/>
        </w:rPr>
        <w:t>(d) Tesisin koordinatları,</w:t>
      </w:r>
    </w:p>
    <w:p>
      <w:pPr>
        <w:pStyle w:val="LegalList"/>
      </w:pPr>
      <w:r>
        <w:rPr>
          <w:rFonts w:ascii="Avenir Light" w:hAnsi="Avenir Light" w:eastAsia="Avenir Light" w:cs="Avenir Light"/>
          <w:b w:val="0"/>
          <w:i w:val="0"/>
          <w:color w:val="172126"/>
          <w:sz w:val="19"/>
        </w:rPr>
        <w:t>(2) Raporu doğrulayan kuruluşun adı ve adresi,</w:t>
      </w:r>
    </w:p>
    <w:p>
      <w:pPr>
        <w:pStyle w:val="LegalList"/>
      </w:pPr>
      <w:r>
        <w:rPr>
          <w:rFonts w:ascii="Avenir Light" w:hAnsi="Avenir Light" w:eastAsia="Avenir Light" w:cs="Avenir Light"/>
          <w:b w:val="0"/>
          <w:i w:val="0"/>
          <w:color w:val="172126"/>
          <w:sz w:val="19"/>
        </w:rPr>
        <w:t>(3) Raporlama yılı,</w:t>
      </w:r>
    </w:p>
    <w:p>
      <w:pPr>
        <w:pStyle w:val="LegalList"/>
      </w:pPr>
      <w:r>
        <w:rPr>
          <w:rFonts w:ascii="Avenir Light" w:hAnsi="Avenir Light" w:eastAsia="Avenir Light" w:cs="Avenir Light"/>
          <w:b w:val="0"/>
          <w:i w:val="0"/>
          <w:color w:val="172126"/>
          <w:sz w:val="19"/>
        </w:rPr>
        <w:t>(4) İlgili onaylanmış ve doğrulanmış izleme planına referans ve planın sürüm sayısı,</w:t>
      </w:r>
    </w:p>
    <w:p>
      <w:pPr>
        <w:pStyle w:val="LegalList"/>
      </w:pPr>
      <w:r>
        <w:rPr>
          <w:rFonts w:ascii="Avenir Light" w:hAnsi="Avenir Light" w:eastAsia="Avenir Light" w:cs="Avenir Light"/>
          <w:b w:val="0"/>
          <w:i w:val="0"/>
          <w:color w:val="172126"/>
          <w:sz w:val="19"/>
        </w:rPr>
        <w:t>(5) Tesis işletimindeki değişiklikler, Bakanlıkça onaylanmış izleme planında raporlama döneminde gerçekleşen değişiklikler ve geçici sapmalar, geçici ve kalıcı kademe değişiklikleri, bu değişikliklerin nedenleri, geçici değişikliklerin başlangıç ve bitiş tarihleri ile kalıcı değişikliklerin başlangıç tarihleri,</w:t>
      </w:r>
    </w:p>
    <w:p>
      <w:pPr>
        <w:pStyle w:val="LegalList"/>
      </w:pPr>
      <w:r>
        <w:rPr>
          <w:rFonts w:ascii="Avenir Light" w:hAnsi="Avenir Light" w:eastAsia="Avenir Light" w:cs="Avenir Light"/>
          <w:b w:val="0"/>
          <w:i w:val="0"/>
          <w:color w:val="172126"/>
          <w:sz w:val="19"/>
        </w:rPr>
        <w:t>(6) Tüm emisyon kaynakları ve kaynak akışlarına ilişkin:</w:t>
      </w:r>
    </w:p>
    <w:p>
      <w:pPr>
        <w:pStyle w:val="LegalList"/>
      </w:pPr>
      <w:r>
        <w:rPr>
          <w:rFonts w:ascii="Avenir Light" w:hAnsi="Avenir Light" w:eastAsia="Avenir Light" w:cs="Avenir Light"/>
          <w:b w:val="0"/>
          <w:i w:val="0"/>
          <w:color w:val="172126"/>
          <w:sz w:val="19"/>
        </w:rPr>
        <w:t>(a) t CO 2(eşd) olarak ifade edilen toplam emisyonlar,</w:t>
      </w:r>
    </w:p>
    <w:p>
      <w:pPr>
        <w:pStyle w:val="LegalList"/>
      </w:pPr>
      <w:r>
        <w:rPr>
          <w:rFonts w:ascii="Avenir Light" w:hAnsi="Avenir Light" w:eastAsia="Avenir Light" w:cs="Avenir Light"/>
          <w:b w:val="0"/>
          <w:i w:val="0"/>
          <w:color w:val="172126"/>
          <w:sz w:val="19"/>
        </w:rPr>
        <w:t>(b) CO 2 haricindeki sera gazları için “ton” olarak ifade edilen toplam emisyonlar,</w:t>
      </w:r>
    </w:p>
    <w:p>
      <w:pPr>
        <w:pStyle w:val="LegalList"/>
      </w:pPr>
      <w:r>
        <w:rPr>
          <w:rFonts w:ascii="Avenir Light" w:hAnsi="Avenir Light" w:eastAsia="Avenir Light" w:cs="Avenir Light"/>
          <w:b w:val="0"/>
          <w:i w:val="0"/>
          <w:color w:val="172126"/>
          <w:sz w:val="19"/>
        </w:rPr>
        <w:t xml:space="preserve">(c) </w:t>
      </w:r>
      <w:hyperlink w:anchor="madde_19" w:history="1">
        <w:r>
          <w:rPr>
            <w:rFonts w:ascii="Avenir Light" w:hAnsi="Avenir Light" w:eastAsia="Avenir Light" w:cs="Avenir Light"/>
            <w:color w:val="188A42"/>
            <w:sz w:val="19"/>
            <w:szCs w:val="19"/>
          </w:rPr>
          <w:t xml:space="preserve">19 uncu madde</w:t>
        </w:r>
      </w:hyperlink>
      <w:r>
        <w:rPr>
          <w:rFonts w:ascii="Avenir Light" w:hAnsi="Avenir Light" w:eastAsia="Avenir Light" w:cs="Avenir Light"/>
          <w:b w:val="0"/>
          <w:i w:val="0"/>
          <w:color w:val="172126"/>
          <w:sz w:val="19"/>
        </w:rPr>
        <w:t xml:space="preserve"> uyarınca hangi izleme yönteminin (ölçme/hesaplama) kullanıldığına dair bilgi,</w:t>
      </w:r>
    </w:p>
    <w:p>
      <w:pPr>
        <w:pStyle w:val="LegalList"/>
      </w:pPr>
      <w:r>
        <w:rPr>
          <w:rFonts w:ascii="Avenir Light" w:hAnsi="Avenir Light" w:eastAsia="Avenir Light" w:cs="Avenir Light"/>
          <w:b w:val="0"/>
          <w:i w:val="0"/>
          <w:color w:val="172126"/>
          <w:sz w:val="19"/>
        </w:rPr>
        <w:t>(ç) Uygulanan kademeler,</w:t>
      </w:r>
    </w:p>
    <w:p>
      <w:pPr>
        <w:pStyle w:val="LegalList"/>
      </w:pPr>
      <w:r>
        <w:rPr>
          <w:rFonts w:ascii="Avenir Light" w:hAnsi="Avenir Light" w:eastAsia="Avenir Light" w:cs="Avenir Light"/>
          <w:b w:val="0"/>
          <w:i w:val="0"/>
          <w:color w:val="172126"/>
          <w:sz w:val="19"/>
        </w:rPr>
        <w:t>(d) Faaliyet verisi:</w:t>
      </w:r>
    </w:p>
    <w:p>
      <w:pPr>
        <w:pStyle w:val="LegalList"/>
      </w:pPr>
      <w:r>
        <w:rPr>
          <w:rFonts w:ascii="Avenir Light" w:hAnsi="Avenir Light" w:eastAsia="Avenir Light" w:cs="Avenir Light"/>
          <w:b w:val="0"/>
          <w:i w:val="0"/>
          <w:color w:val="172126"/>
          <w:sz w:val="19"/>
        </w:rPr>
        <w:t>(i) Yakıtlar için, yakıt miktarı (ton veya Nm3 olarak) ve NKD (GJ/t veya GJ/ Nm3 olarak) verisi,</w:t>
      </w:r>
    </w:p>
    <w:p>
      <w:pPr>
        <w:pStyle w:val="LegalList"/>
      </w:pPr>
      <w:r>
        <w:rPr>
          <w:rFonts w:ascii="Avenir Light" w:hAnsi="Avenir Light" w:eastAsia="Avenir Light" w:cs="Avenir Light"/>
          <w:b w:val="0"/>
          <w:i w:val="0"/>
          <w:color w:val="172126"/>
          <w:sz w:val="19"/>
        </w:rPr>
        <w:t>(ii) Bütün diğer kaynak akımları için miktar (ton veya Nm3 olarak),</w:t>
      </w:r>
    </w:p>
    <w:p>
      <w:pPr>
        <w:pStyle w:val="LegalList"/>
      </w:pPr>
      <w:r>
        <w:rPr>
          <w:rFonts w:ascii="Avenir Light" w:hAnsi="Avenir Light" w:eastAsia="Avenir Light" w:cs="Avenir Light"/>
          <w:b w:val="0"/>
          <w:i w:val="0"/>
          <w:color w:val="172126"/>
          <w:sz w:val="19"/>
        </w:rPr>
        <w:t xml:space="preserve">(e) </w:t>
      </w:r>
      <w:hyperlink w:anchor="madde_33" w:history="1">
        <w:r>
          <w:rPr>
            <w:rFonts w:ascii="Avenir Light" w:hAnsi="Avenir Light" w:eastAsia="Avenir Light" w:cs="Avenir Light"/>
            <w:color w:val="188A42"/>
            <w:sz w:val="19"/>
            <w:szCs w:val="19"/>
          </w:rPr>
          <w:t xml:space="preserve">33 üncü madde</w:t>
        </w:r>
      </w:hyperlink>
      <w:r>
        <w:rPr>
          <w:rFonts w:ascii="Avenir Light" w:hAnsi="Avenir Light" w:eastAsia="Avenir Light" w:cs="Avenir Light"/>
          <w:b w:val="0"/>
          <w:i w:val="0"/>
          <w:color w:val="172126"/>
          <w:sz w:val="19"/>
        </w:rPr>
        <w:t>nin ikinci fıkrasında belirtilen şartlara göre ifade edilen emisyon faktörleri, birimsiz oran olarak ifade edilen biyokütle oranı, yükseltgenme ve dönüşüm faktörleri,</w:t>
      </w:r>
    </w:p>
    <w:p>
      <w:pPr>
        <w:pStyle w:val="LegalList"/>
      </w:pPr>
      <w:r>
        <w:rPr>
          <w:rFonts w:ascii="Avenir Light" w:hAnsi="Avenir Light" w:eastAsia="Avenir Light" w:cs="Avenir Light"/>
          <w:b w:val="0"/>
          <w:i w:val="0"/>
          <w:color w:val="172126"/>
          <w:sz w:val="19"/>
        </w:rPr>
        <w:t>(f) Yakıtlar için emisyon faktörleri enerji yerine kütle ile ilgili olduğunda, ilgili kaynak akışının NKD için ikame verisi.</w:t>
      </w:r>
    </w:p>
    <w:p>
      <w:pPr>
        <w:pStyle w:val="LegalList"/>
      </w:pPr>
      <w:r>
        <w:rPr>
          <w:rFonts w:ascii="Avenir Light" w:hAnsi="Avenir Light" w:eastAsia="Avenir Light" w:cs="Avenir Light"/>
          <w:b w:val="0"/>
          <w:i w:val="0"/>
          <w:color w:val="172126"/>
          <w:sz w:val="19"/>
        </w:rPr>
        <w:t>(7) Kütle dengesi yönteminin uygulandığı durumlarda, kütle akımı, tesisten içeri ve dışarı her bir kaynak akışı için karbon içeriği, varsa biyokütle oranı ve net kalorifik değeri,</w:t>
      </w:r>
    </w:p>
    <w:p>
      <w:pPr>
        <w:pStyle w:val="LegalList"/>
      </w:pPr>
      <w:r>
        <w:rPr>
          <w:rFonts w:ascii="Avenir Light" w:hAnsi="Avenir Light" w:eastAsia="Avenir Light" w:cs="Avenir Light"/>
          <w:b w:val="0"/>
          <w:i w:val="0"/>
          <w:color w:val="172126"/>
          <w:sz w:val="19"/>
        </w:rPr>
        <w:t>(8) Raporlanacak diğer bilgiler:</w:t>
      </w:r>
    </w:p>
    <w:p>
      <w:pPr>
        <w:pStyle w:val="LegalList"/>
      </w:pPr>
      <w:r>
        <w:rPr>
          <w:rFonts w:ascii="Avenir Light" w:hAnsi="Avenir Light" w:eastAsia="Avenir Light" w:cs="Avenir Light"/>
          <w:b w:val="0"/>
          <w:i w:val="0"/>
          <w:color w:val="172126"/>
          <w:sz w:val="19"/>
        </w:rPr>
        <w:t>(a) TJ olarak ifade edilen veya prosese giriyorsa t veya Nm3 olarak ifade edilen yanmış biyokütle miktarları,</w:t>
      </w:r>
    </w:p>
    <w:p>
      <w:pPr>
        <w:pStyle w:val="LegalList"/>
      </w:pPr>
      <w:r>
        <w:rPr>
          <w:rFonts w:ascii="Avenir Light" w:hAnsi="Avenir Light" w:eastAsia="Avenir Light" w:cs="Avenir Light"/>
          <w:b w:val="0"/>
          <w:i w:val="0"/>
          <w:color w:val="172126"/>
          <w:sz w:val="19"/>
        </w:rPr>
        <w:t>(b) Emisyonları belirlemek için ölçüm temelli yöntem kullanıldığında, t CO 2 olarak ifade edilen, biyokütle kaynaklı CO 2 emisyonları,</w:t>
      </w:r>
    </w:p>
    <w:p>
      <w:pPr>
        <w:pStyle w:val="LegalList"/>
      </w:pPr>
      <w:r>
        <w:rPr>
          <w:rFonts w:ascii="Avenir Light" w:hAnsi="Avenir Light" w:eastAsia="Avenir Light" w:cs="Avenir Light"/>
          <w:b w:val="0"/>
          <w:i w:val="0"/>
          <w:color w:val="172126"/>
          <w:sz w:val="19"/>
        </w:rPr>
        <w:t>(c) Varsa, yakıt olarak kullanılan biyokütle kaynak akışlarının net kalorifik değeri için ikamesi,</w:t>
      </w:r>
    </w:p>
    <w:p>
      <w:pPr>
        <w:pStyle w:val="LegalList"/>
      </w:pPr>
      <w:r>
        <w:rPr>
          <w:rFonts w:ascii="Avenir Light" w:hAnsi="Avenir Light" w:eastAsia="Avenir Light" w:cs="Avenir Light"/>
          <w:b w:val="0"/>
          <w:i w:val="0"/>
          <w:color w:val="172126"/>
          <w:sz w:val="19"/>
        </w:rPr>
        <w:t>(ç) t ve TJ olarak ifade edilen, yanmış biyosıvılar ve biyoyakıtların miktarları ve enerji içerikleri,</w:t>
      </w:r>
    </w:p>
    <w:p>
      <w:pPr>
        <w:pStyle w:val="LegalList"/>
      </w:pPr>
      <w:r>
        <w:rPr>
          <w:rFonts w:ascii="Avenir Light" w:hAnsi="Avenir Light" w:eastAsia="Avenir Light" w:cs="Avenir Light"/>
          <w:b w:val="0"/>
          <w:i w:val="0"/>
          <w:color w:val="172126"/>
          <w:sz w:val="19"/>
        </w:rPr>
        <w:t xml:space="preserve">(d) </w:t>
      </w:r>
      <w:hyperlink w:anchor="madde_47" w:history="1">
        <w:r>
          <w:rPr>
            <w:rFonts w:ascii="Avenir Light" w:hAnsi="Avenir Light" w:eastAsia="Avenir Light" w:cs="Avenir Light"/>
            <w:color w:val="188A42"/>
            <w:sz w:val="19"/>
            <w:szCs w:val="19"/>
          </w:rPr>
          <w:t xml:space="preserve">47 nci madde</w:t>
        </w:r>
      </w:hyperlink>
      <w:r>
        <w:rPr>
          <w:rFonts w:ascii="Avenir Light" w:hAnsi="Avenir Light" w:eastAsia="Avenir Light" w:cs="Avenir Light"/>
          <w:b w:val="0"/>
          <w:i w:val="0"/>
          <w:color w:val="172126"/>
          <w:sz w:val="19"/>
        </w:rPr>
        <w:t xml:space="preserve"> uyarınca, t CO 2 olarak ifade edilen, bir tesise transfer edilen veya bir tesisten transfer edilen CO 2 ,</w:t>
      </w:r>
    </w:p>
    <w:p>
      <w:pPr>
        <w:pStyle w:val="LegalList"/>
      </w:pPr>
      <w:r>
        <w:rPr>
          <w:rFonts w:ascii="Avenir Light" w:hAnsi="Avenir Light" w:eastAsia="Avenir Light" w:cs="Avenir Light"/>
          <w:b w:val="0"/>
          <w:i w:val="0"/>
          <w:color w:val="172126"/>
          <w:sz w:val="19"/>
        </w:rPr>
        <w:t xml:space="preserve">(e) </w:t>
      </w:r>
      <w:hyperlink w:anchor="madde_46" w:history="1">
        <w:r>
          <w:rPr>
            <w:rFonts w:ascii="Avenir Light" w:hAnsi="Avenir Light" w:eastAsia="Avenir Light" w:cs="Avenir Light"/>
            <w:color w:val="188A42"/>
            <w:sz w:val="19"/>
            <w:szCs w:val="19"/>
          </w:rPr>
          <w:t xml:space="preserve">46 ncı madde</w:t>
        </w:r>
      </w:hyperlink>
      <w:r>
        <w:rPr>
          <w:rFonts w:ascii="Avenir Light" w:hAnsi="Avenir Light" w:eastAsia="Avenir Light" w:cs="Avenir Light"/>
          <w:b w:val="0"/>
          <w:i w:val="0"/>
          <w:color w:val="172126"/>
          <w:sz w:val="19"/>
        </w:rPr>
        <w:t xml:space="preserve"> uyarınca, t CO 2 olarak ifade edilen, bir tesise transfer edilen veya bir tesisten transfer edilen dahili CO 2 ,</w:t>
      </w:r>
    </w:p>
    <w:p>
      <w:pPr>
        <w:pStyle w:val="LegalList"/>
      </w:pPr>
      <w:r>
        <w:rPr>
          <w:rFonts w:ascii="Avenir Light" w:hAnsi="Avenir Light" w:eastAsia="Avenir Light" w:cs="Avenir Light"/>
          <w:b w:val="0"/>
          <w:i w:val="0"/>
          <w:color w:val="172126"/>
          <w:sz w:val="19"/>
        </w:rPr>
        <w:t>(f) CO 2 transferi olduğu durumlarda, transfer eden ve edilen tesislere ilişkin kimlik bilgileri,</w:t>
      </w:r>
    </w:p>
    <w:p>
      <w:pPr>
        <w:pStyle w:val="LegalList"/>
      </w:pPr>
      <w:r>
        <w:rPr>
          <w:rFonts w:ascii="Avenir Light" w:hAnsi="Avenir Light" w:eastAsia="Avenir Light" w:cs="Avenir Light"/>
          <w:b w:val="0"/>
          <w:i w:val="0"/>
          <w:color w:val="172126"/>
          <w:sz w:val="19"/>
        </w:rPr>
        <w:t>(g) t CO 2 olarak ifade edilen, transfer edilen biyokütle kaynaklı CO 2 ,</w:t>
      </w:r>
    </w:p>
    <w:p>
      <w:pPr>
        <w:pStyle w:val="LegalList"/>
      </w:pPr>
      <w:r>
        <w:rPr>
          <w:rFonts w:ascii="Avenir Light" w:hAnsi="Avenir Light" w:eastAsia="Avenir Light" w:cs="Avenir Light"/>
          <w:b w:val="0"/>
          <w:i w:val="0"/>
          <w:color w:val="172126"/>
          <w:sz w:val="19"/>
        </w:rPr>
        <w:t>(9) Bir ölçüm yönteminin (SEÖS) uygulandığı durumlarda:</w:t>
      </w:r>
    </w:p>
    <w:p>
      <w:pPr>
        <w:pStyle w:val="LegalList"/>
      </w:pPr>
      <w:r>
        <w:rPr>
          <w:rFonts w:ascii="Avenir Light" w:hAnsi="Avenir Light" w:eastAsia="Avenir Light" w:cs="Avenir Light"/>
          <w:b w:val="0"/>
          <w:i w:val="0"/>
          <w:color w:val="172126"/>
          <w:sz w:val="19"/>
        </w:rPr>
        <w:t>(a) CO 2 ’nin, yıllık fosil CO 2 emisyonları ve biyokütle kullanımı kaynaklı yıllık CO 2 emisyonları olarak ölçüldüğü yer,</w:t>
      </w:r>
    </w:p>
    <w:p>
      <w:pPr>
        <w:pStyle w:val="LegalList"/>
      </w:pPr>
      <w:r>
        <w:rPr>
          <w:rFonts w:ascii="Avenir Light" w:hAnsi="Avenir Light" w:eastAsia="Avenir Light" w:cs="Avenir Light"/>
          <w:b w:val="0"/>
          <w:i w:val="0"/>
          <w:color w:val="172126"/>
          <w:sz w:val="19"/>
        </w:rPr>
        <w:t>(b) Yıllık saatlik ortalama ve yıllık toplam değer olarak ifade edilen, sera gazı konsantrasyonları ve baca gaz akışı ölçümleri,</w:t>
      </w:r>
    </w:p>
    <w:p>
      <w:pPr>
        <w:pStyle w:val="LegalList"/>
      </w:pPr>
      <w:r>
        <w:rPr>
          <w:rFonts w:ascii="Avenir Light" w:hAnsi="Avenir Light" w:eastAsia="Avenir Light" w:cs="Avenir Light"/>
          <w:b w:val="0"/>
          <w:i w:val="0"/>
          <w:color w:val="172126"/>
          <w:sz w:val="19"/>
        </w:rPr>
        <w:t xml:space="preserve">(10) </w:t>
      </w:r>
      <w:hyperlink w:anchor="madde_20" w:history="1">
        <w:r>
          <w:rPr>
            <w:rFonts w:ascii="Avenir Light" w:hAnsi="Avenir Light" w:eastAsia="Avenir Light" w:cs="Avenir Light"/>
            <w:color w:val="188A42"/>
            <w:sz w:val="19"/>
            <w:szCs w:val="19"/>
          </w:rPr>
          <w:t xml:space="preserve">20 nci madde</w:t>
        </w:r>
      </w:hyperlink>
      <w:r>
        <w:rPr>
          <w:rFonts w:ascii="Avenir Light" w:hAnsi="Avenir Light" w:eastAsia="Avenir Light" w:cs="Avenir Light"/>
          <w:b w:val="0"/>
          <w:i w:val="0"/>
          <w:color w:val="172126"/>
          <w:sz w:val="19"/>
        </w:rPr>
        <w:t xml:space="preserve"> kapsamında kademelere dayanmayanyöntem uygulandığında, yöntemin uygulandığı emisyon kaynakları ve kaynak akımları için emisyonları belirlemeye yönelik gerekli tüm veri ile birlikte, faaliyet verisi için ikame veri, hesaplama faktörü ve bir kademe yöntemi altında raporlanacak olan diğer parametreler,</w:t>
      </w:r>
    </w:p>
    <w:p>
      <w:pPr>
        <w:pStyle w:val="LegalList"/>
      </w:pPr>
      <w:r>
        <w:rPr>
          <w:rFonts w:ascii="Avenir Light" w:hAnsi="Avenir Light" w:eastAsia="Avenir Light" w:cs="Avenir Light"/>
          <w:b w:val="0"/>
          <w:i w:val="0"/>
          <w:color w:val="172126"/>
          <w:sz w:val="19"/>
        </w:rPr>
        <w:t xml:space="preserve">(11) Veri boşluklarının oluştuğu ve </w:t>
      </w:r>
      <w:hyperlink w:anchor="madde_56" w:history="1">
        <w:r>
          <w:rPr>
            <w:rFonts w:ascii="Avenir Light" w:hAnsi="Avenir Light" w:eastAsia="Avenir Light" w:cs="Avenir Light"/>
            <w:color w:val="188A42"/>
            <w:sz w:val="19"/>
            <w:szCs w:val="19"/>
          </w:rPr>
          <w:t xml:space="preserve">56 ncı madde</w:t>
        </w:r>
      </w:hyperlink>
      <w:r>
        <w:rPr>
          <w:rFonts w:ascii="Avenir Light" w:hAnsi="Avenir Light" w:eastAsia="Avenir Light" w:cs="Avenir Light"/>
          <w:b w:val="0"/>
          <w:i w:val="0"/>
          <w:color w:val="172126"/>
          <w:sz w:val="19"/>
        </w:rPr>
        <w:t>nin birinci fıkrası uyarınca ikame veri ile kapatıldığı durumlarda:</w:t>
      </w:r>
    </w:p>
    <w:p>
      <w:pPr>
        <w:pStyle w:val="LegalList"/>
      </w:pPr>
      <w:r>
        <w:rPr>
          <w:rFonts w:ascii="Avenir Light" w:hAnsi="Avenir Light" w:eastAsia="Avenir Light" w:cs="Avenir Light"/>
          <w:b w:val="0"/>
          <w:i w:val="0"/>
          <w:color w:val="172126"/>
          <w:sz w:val="19"/>
        </w:rPr>
        <w:t>(a) Her bir veri boşluğunun oluştuğu kaynak akışı veya emisyon kaynağı,</w:t>
      </w:r>
    </w:p>
    <w:p>
      <w:pPr>
        <w:pStyle w:val="LegalList"/>
      </w:pPr>
      <w:r>
        <w:rPr>
          <w:rFonts w:ascii="Avenir Light" w:hAnsi="Avenir Light" w:eastAsia="Avenir Light" w:cs="Avenir Light"/>
          <w:b w:val="0"/>
          <w:i w:val="0"/>
          <w:color w:val="172126"/>
          <w:sz w:val="19"/>
        </w:rPr>
        <w:t>(b) Her bir veri boşluğunun nedenleri,</w:t>
      </w:r>
    </w:p>
    <w:p>
      <w:pPr>
        <w:pStyle w:val="LegalList"/>
      </w:pPr>
      <w:r>
        <w:rPr>
          <w:rFonts w:ascii="Avenir Light" w:hAnsi="Avenir Light" w:eastAsia="Avenir Light" w:cs="Avenir Light"/>
          <w:b w:val="0"/>
          <w:i w:val="0"/>
          <w:color w:val="172126"/>
          <w:sz w:val="19"/>
        </w:rPr>
        <w:t>(c) Her bir veri boşluğunun başlangıç ve bitiş tarihi ile saatleri,</w:t>
      </w:r>
    </w:p>
    <w:p>
      <w:pPr>
        <w:pStyle w:val="LegalList"/>
      </w:pPr>
      <w:r>
        <w:rPr>
          <w:rFonts w:ascii="Avenir Light" w:hAnsi="Avenir Light" w:eastAsia="Avenir Light" w:cs="Avenir Light"/>
          <w:b w:val="0"/>
          <w:i w:val="0"/>
          <w:color w:val="172126"/>
          <w:sz w:val="19"/>
        </w:rPr>
        <w:t>(ç) İkame veriye dayanarak hesaplanan emisyonlar,</w:t>
      </w:r>
    </w:p>
    <w:p>
      <w:pPr>
        <w:pStyle w:val="LegalList"/>
      </w:pPr>
      <w:r>
        <w:rPr>
          <w:rFonts w:ascii="Avenir Light" w:hAnsi="Avenir Light" w:eastAsia="Avenir Light" w:cs="Avenir Light"/>
          <w:b w:val="0"/>
          <w:i w:val="0"/>
          <w:color w:val="172126"/>
          <w:sz w:val="19"/>
        </w:rPr>
        <w:t>(d) İkame veri için tahmin yönteminin izleme planında yer almadığı hallerde, kullanılan yöntemin ilgili zaman süreci içinde emisyonların eksik tahminine yol açmayacağına dair belgeleri de içerecek şekilde tahmin yönteminin detaylı tarifi,</w:t>
      </w:r>
    </w:p>
    <w:p>
      <w:pPr>
        <w:pStyle w:val="LegalList"/>
      </w:pPr>
      <w:r>
        <w:rPr>
          <w:rFonts w:ascii="Avenir Light" w:hAnsi="Avenir Light" w:eastAsia="Avenir Light" w:cs="Avenir Light"/>
          <w:b w:val="0"/>
          <w:i w:val="0"/>
          <w:color w:val="172126"/>
          <w:sz w:val="19"/>
        </w:rPr>
        <w:t>(12) Raporlama yılı süresince tesisin sera gazı emisyonları ile ilgili, raporlama dönemi boyunca tesiste olan diğer değişiklikler,</w:t>
      </w:r>
    </w:p>
    <w:p>
      <w:pPr>
        <w:pStyle w:val="LegalList"/>
      </w:pPr>
      <w:r>
        <w:rPr>
          <w:rFonts w:ascii="Avenir Light" w:hAnsi="Avenir Light" w:eastAsia="Avenir Light" w:cs="Avenir Light"/>
          <w:b w:val="0"/>
          <w:i w:val="0"/>
          <w:color w:val="172126"/>
          <w:sz w:val="19"/>
        </w:rPr>
        <w:t xml:space="preserve">(13) Varsa, birincil alüminyumun üretim seviyesi, raporlama dönemi süresince anot etkisinin sıklığı ve ortalama süresi veya raporlama dönemi süresince anot etkisi aşırı gerilim verisi, </w:t>
      </w:r>
      <w:hyperlink w:anchor="ek_3" w:history="1">
        <w:r>
          <w:rPr>
            <w:rFonts w:ascii="Avenir Light" w:hAnsi="Avenir Light" w:eastAsia="Avenir Light" w:cs="Avenir Light"/>
            <w:color w:val="188A42"/>
            <w:sz w:val="19"/>
            <w:szCs w:val="19"/>
          </w:rPr>
          <w:t xml:space="preserve">ek-3</w:t>
        </w:r>
      </w:hyperlink>
      <w:r>
        <w:rPr>
          <w:rFonts w:ascii="Avenir Light" w:hAnsi="Avenir Light" w:eastAsia="Avenir Light" w:cs="Avenir Light"/>
          <w:b w:val="0"/>
          <w:i w:val="0"/>
          <w:color w:val="172126"/>
          <w:sz w:val="19"/>
        </w:rPr>
        <w:t xml:space="preserve"> kapsamında CF 4 ve C 2 F 6 için tesise özgü emisyon faktörlerinin en güncel tespitinin sonuçları ve kanalların toplama verimliliğinin en güncel tespitinin sonuçları,</w:t>
      </w:r>
    </w:p>
    <w:p>
      <w:pPr>
        <w:pStyle w:val="LegalList"/>
      </w:pPr>
      <w:r>
        <w:rPr>
          <w:rFonts w:ascii="Avenir Light" w:hAnsi="Avenir Light" w:eastAsia="Avenir Light" w:cs="Avenir Light"/>
          <w:b w:val="0"/>
          <w:i w:val="0"/>
          <w:color w:val="172126"/>
          <w:sz w:val="19"/>
        </w:rPr>
        <w:t>(14) Tesis için kullanılan atık tipleri, yakıt veya girdi olarak kullanımlarından kaynaklanan emisyonlar, ilgili atık mevzuatında belirtilen sınıflandırma kullanılarak raporlanır. Bu amaç ile ilgili altı haneli kod tesiste kullanılan ilgili atık tiplerinin isimleri ile birlikte belirtilir. Farklı emisyon kaynaklarından veya aynı tip faaliyete ait her bir tesisin aynı tip kaynak akımlarından kaynaklanan emisyonlar, bahse konu faaliyet tipi için kümelenerek raporlanabilir. Bir raporlama dönemi içinde kademeler değiştiğinde, işletme emisyonları hesaplayacak ve raporlama döneminin ilgili bölümleri için yıllık raporda ayrı bölümler olarak raporlayacaktır.</w:t>
      </w:r>
      <w:bookmarkEnd w:id="9000"/>
    </w:p>
    <w:sectPr w:rsidR="00FC693F" w:rsidRPr="0006063C" w:rsidSect="00034616">
      <w:headerReference w:type="default" r:id="rId9"/>
      <w:footerReference w:type="default" r:id="rId10"/>
      <w:pgSz w:w="11906" w:h="16838"/>
      <w:pgMar w:top="1134" w:right="1020" w:bottom="1134" w:left="1020" w:header="510" w:footer="51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venir Light" w:hAnsi="Avenir Light" w:eastAsia="Avenir Light" w:cs="Avenir Light"/>
        <w:b w:val="0"/>
        <w:i w:val="0"/>
        <w:color w:val="58666B"/>
        <w:sz w:val="15"/>
      </w:rPr>
      <w:t xml:space="preserve">İzleme ve Raporlama Tebliği  /  </w:t>
    </w:r>
    <w:r>
      <w:rPr>
        <w:rFonts w:ascii="Avenir Light" w:hAnsi="Avenir Light" w:eastAsia="Avenir Light" w:cs="Avenir Light"/>
        <w:b w:val="0"/>
        <w:i w:val="0"/>
        <w:color w:val="58666B"/>
        <w:sz w:val="16"/>
      </w:rPr>
      <w:fldChar w:fldCharType="begin"/>
      <w:instrText xml:space="preserve">PAGE</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40"/>
      <w:jc w:val="left"/>
      <w:pBdr>
        <w:bottom w:val="single" w:sz="4" w:space="4" w:color="D5E5DA"/>
      </w:pBdr>
    </w:pPr>
    <w:r>
      <w:rPr>
        <w:rFonts w:ascii="Avenir Light" w:hAnsi="Avenir Light" w:eastAsia="Avenir Light" w:cs="Avenir Light"/>
        <w:b w:val="0"/>
        <w:i w:val="0"/>
        <w:color w:val="188A42"/>
        <w:sz w:val="15"/>
      </w:rPr>
      <w:t>RESISCO MÜHENDİSLİK  /  MEVZUAT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70" w:line="269" w:lineRule="auto"/>
    </w:pPr>
    <w:rPr>
      <w:rFonts w:ascii="Avenir Light" w:hAnsi="Avenir Light" w:eastAsia="Avenir Light" w:cs="Avenir Light"/>
      <w:b w:val="0"/>
      <w:color w:val="172126"/>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OfficialTitle">
    <w:name w:val="OfficialTitle"/>
    <w:pPr>
      <w:keepNext/>
      <w:widowControl/>
      <w:spacing w:before="0" w:after="240" w:line="240" w:lineRule="auto"/>
      <w:jc w:val="center"/>
    </w:pPr>
    <w:rPr>
      <w:rFonts w:ascii="Avenir Light" w:hAnsi="Avenir Light" w:eastAsia="Avenir Light" w:cs="Avenir Light"/>
      <w:b w:val="0"/>
      <w:color w:val="0D5F31"/>
      <w:sz w:val="30"/>
    </w:rPr>
  </w:style>
  <w:style w:type="paragraph" w:customStyle="1" w:styleId="PartLabel">
    <w:name w:val="PartLabel"/>
    <w:pPr>
      <w:keepNext/>
      <w:widowControl/>
      <w:spacing w:before="280" w:after="40" w:line="240" w:lineRule="auto"/>
      <w:jc w:val="center"/>
      <w:outlineLvl w:val="0"/>
    </w:pPr>
    <w:rPr>
      <w:rFonts w:ascii="Avenir Light" w:hAnsi="Avenir Light" w:eastAsia="Avenir Light" w:cs="Avenir Light"/>
      <w:b w:val="0"/>
      <w:color w:val="0D5F31"/>
      <w:sz w:val="26"/>
    </w:rPr>
  </w:style>
  <w:style w:type="paragraph" w:customStyle="1" w:styleId="PartTitle">
    <w:name w:val="PartTitle"/>
    <w:pPr>
      <w:keepNext/>
      <w:widowControl/>
      <w:spacing w:before="0" w:after="200" w:line="240" w:lineRule="auto"/>
      <w:jc w:val="center"/>
    </w:pPr>
    <w:rPr>
      <w:rFonts w:ascii="Avenir Light" w:hAnsi="Avenir Light" w:eastAsia="Avenir Light" w:cs="Avenir Light"/>
      <w:b w:val="0"/>
      <w:color w:val="172126"/>
      <w:sz w:val="22"/>
    </w:rPr>
  </w:style>
  <w:style w:type="paragraph" w:customStyle="1" w:styleId="ArticleTitle">
    <w:name w:val="ArticleTitle"/>
    <w:pPr>
      <w:keepNext/>
      <w:widowControl/>
      <w:spacing w:before="180" w:after="40" w:line="240" w:lineRule="auto"/>
      <w:jc w:val="left"/>
      <w:outlineLvl w:val="1"/>
    </w:pPr>
    <w:rPr>
      <w:rFonts w:ascii="Avenir Light" w:hAnsi="Avenir Light" w:eastAsia="Avenir Light" w:cs="Avenir Light"/>
      <w:b w:val="0"/>
      <w:color w:val="0D5F31"/>
      <w:sz w:val="21"/>
    </w:rPr>
  </w:style>
  <w:style w:type="paragraph" w:customStyle="1" w:styleId="ArticleText">
    <w:name w:val="ArticleText"/>
    <w:pPr>
      <w:widowControl/>
      <w:spacing w:before="0" w:after="80" w:line="269" w:lineRule="auto"/>
      <w:jc w:val="both"/>
    </w:pPr>
    <w:rPr>
      <w:rFonts w:ascii="Avenir Light" w:hAnsi="Avenir Light" w:eastAsia="Avenir Light" w:cs="Avenir Light"/>
      <w:b w:val="0"/>
      <w:color w:val="172126"/>
      <w:sz w:val="19"/>
    </w:rPr>
  </w:style>
  <w:style w:type="paragraph" w:customStyle="1" w:styleId="LegalList">
    <w:name w:val="LegalList"/>
    <w:pPr>
      <w:widowControl/>
      <w:spacing w:before="0" w:after="70" w:line="269" w:lineRule="auto"/>
      <w:ind w:left="397" w:hanging="283"/>
      <w:jc w:val="both"/>
    </w:pPr>
    <w:rPr>
      <w:rFonts w:ascii="Avenir Light" w:hAnsi="Avenir Light" w:eastAsia="Avenir Light" w:cs="Avenir Light"/>
      <w:b w:val="0"/>
      <w:color w:val="172126"/>
      <w:sz w:val="19"/>
    </w:rPr>
  </w:style>
  <w:style w:type="paragraph" w:customStyle="1" w:styleId="AnnexHeading">
    <w:name w:val="AnnexHeading"/>
    <w:pPr>
      <w:keepNext/>
      <w:pageBreakBefore/>
      <w:widowControl/>
      <w:spacing w:before="360" w:after="60" w:line="240" w:lineRule="auto"/>
      <w:jc w:val="center"/>
      <w:outlineLvl w:val="0"/>
    </w:pPr>
    <w:rPr>
      <w:rFonts w:ascii="Avenir Light" w:hAnsi="Avenir Light" w:eastAsia="Avenir Light" w:cs="Avenir Light"/>
      <w:b w:val="0"/>
      <w:color w:val="0D5F31"/>
      <w:sz w:val="28"/>
    </w:rPr>
  </w:style>
  <w:style w:type="paragraph" w:customStyle="1" w:styleId="AnnexTitle">
    <w:name w:val="AnnexTitle"/>
    <w:pPr>
      <w:keepNext/>
      <w:widowControl/>
      <w:spacing w:before="0" w:after="240" w:line="252" w:lineRule="auto"/>
      <w:jc w:val="center"/>
    </w:pPr>
    <w:rPr>
      <w:rFonts w:ascii="Avenir Light" w:hAnsi="Avenir Light" w:eastAsia="Avenir Light" w:cs="Avenir Light"/>
      <w:b w:val="0"/>
      <w:color w:val="172126"/>
      <w:sz w:val="24"/>
    </w:rPr>
  </w:style>
  <w:style w:type="paragraph" w:customStyle="1" w:styleId="AnnexSubheading">
    <w:name w:val="AnnexSubheading"/>
    <w:pPr>
      <w:keepNext/>
      <w:widowControl/>
      <w:spacing w:before="180" w:after="60" w:line="240" w:lineRule="auto"/>
      <w:jc w:val="left"/>
      <w:outlineLvl w:val="1"/>
    </w:pPr>
    <w:rPr>
      <w:rFonts w:ascii="Avenir Light" w:hAnsi="Avenir Light" w:eastAsia="Avenir Light" w:cs="Avenir Light"/>
      <w:b w:val="0"/>
      <w:color w:val="0D5F31"/>
      <w:sz w:val="21"/>
    </w:rPr>
  </w:style>
  <w:style w:type="paragraph" w:customStyle="1" w:styleId="TocEntry">
    <w:name w:val="TocEntry"/>
    <w:pPr>
      <w:widowControl/>
      <w:spacing w:before="0" w:after="30" w:line="240" w:lineRule="auto"/>
      <w:jc w:val="left"/>
    </w:pPr>
    <w:rPr>
      <w:rFonts w:ascii="Avenir Light" w:hAnsi="Avenir Light" w:eastAsia="Avenir Light" w:cs="Avenir Light"/>
      <w:b w:val="0"/>
      <w:color w:val="172126"/>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yperlink" Target="https://www.resmigazete.gov.tr/eskiler/2026/08/20260827-7.htm" TargetMode="External"/><Relationship Id="rId13" Type="http://schemas.openxmlformats.org/officeDocument/2006/relationships/hyperlink" Target="https://iklim.gov.tr/db/turkce/icerikler/files/SERA%20GAZI%20EM%C4%B0SYONLARININ%20%C4%B0ZLENMES%C4%B0%20VE%20RAPORLANMASI%20HAKKINDA%20TEBL%C4%B0%C4%9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Sera Gazı Emisyonlarının İzlenmesi ve Raporlanması Hakkında Tebliğ - Resisco düzenlenmiş sürüm</dc:title>
  <dc:subject>22.07.2014 tarihli Tebliğ ve 05.02.2021 değişiklikleri; 62 madde, 1 geçici madde ve EK-1 - EK-9</dc:subject>
  <dc:creator>Resisco Mühendislik A.Ş.</dc:creator>
  <cp:keywords>sera gazı, izleme, raporlama, MRV, Resisco, mevzuat</cp:keywords>
  <dc:description>generated by python-docx</dc:description>
  <cp:lastModifiedBy/>
  <cp:revision>1</cp:revision>
  <dcterms:created xsi:type="dcterms:W3CDTF">2013-12-23T23:15:00Z</dcterms:created>
  <dcterms:modified xsi:type="dcterms:W3CDTF">2013-12-23T23:15:00Z</dcterms:modified>
  <cp:category/>
</cp:coreProperties>
</file>